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4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4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4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4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4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40"/>
        <w:ind w:firstLine="72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常州市新北区三井街道清扫保洁服务项目</w:t>
      </w:r>
      <w:r>
        <w:rPr>
          <w:rFonts w:hint="eastAsia" w:ascii="宋体" w:hAnsi="宋体" w:eastAsia="宋体"/>
          <w:bCs/>
          <w:color w:val="000000"/>
          <w:sz w:val="36"/>
          <w:szCs w:val="36"/>
          <w:highlight w:val="none"/>
          <w:lang w:eastAsia="zh-CN"/>
        </w:rPr>
      </w:r>
      <w:r/>
    </w:p>
    <w:p>
      <w:pPr>
        <w:pStyle w:val="840"/>
        <w:ind w:firstLine="72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0" w:name="_Hlk140156589"/>
      <w:r>
        <w:rPr>
          <w:rFonts w:hint="eastAsia" w:ascii="宋体" w:hAnsi="宋体"/>
          <w:bCs/>
          <w:color w:val="000000"/>
          <w:sz w:val="36"/>
          <w:szCs w:val="36"/>
          <w:highlight w:val="none"/>
          <w:lang w:eastAsia="zh-CN"/>
        </w:rPr>
        <w:t xml:space="preserve">JSZC-320411008-YTZB-G2026-0025</w:t>
      </w:r>
      <w:r>
        <w:rPr>
          <w:rFonts w:ascii="宋体" w:hAnsi="宋体" w:eastAsia="宋体"/>
          <w:bCs/>
          <w:color w:val="000000"/>
          <w:sz w:val="36"/>
          <w:szCs w:val="36"/>
          <w:highlight w:val="none"/>
          <w:lang w:val="en-US" w:eastAsia="zh-CN"/>
        </w:rPr>
      </w:r>
      <w:r/>
    </w:p>
    <w:p>
      <w:pPr>
        <w:pStyle w:val="840"/>
        <w:ind w:firstLine="720"/>
        <w:jc w:val="left"/>
        <w:spacing w:line="360" w:lineRule="auto"/>
        <w:tabs>
          <w:tab w:val="left" w:pos="3240" w:leader="none"/>
          <w:tab w:val="left" w:pos="3420" w:leader="none"/>
        </w:tabs>
        <w:rPr>
          <w:rFonts w:hint="eastAsia" w:ascii="宋体" w:hAnsi="宋体"/>
          <w:bCs/>
          <w:color w:val="000000"/>
          <w:sz w:val="36"/>
          <w:szCs w:val="36"/>
          <w:highlight w:val="none"/>
        </w:rPr>
      </w:pPr>
      <w:r/>
      <w:bookmarkEnd w:id="0"/>
      <w:r>
        <w:rPr>
          <w:rFonts w:ascii="宋体" w:hAnsi="宋体"/>
          <w:bCs/>
          <w:color w:val="000000"/>
          <w:sz w:val="36"/>
          <w:szCs w:val="36"/>
          <w:highlight w:val="none"/>
        </w:rPr>
        <w:t xml:space="preserve">采 购 人：</w:t>
      </w:r>
      <w:bookmarkStart w:id="1" w:name="_Hlk140156643"/>
      <w:r>
        <w:rPr>
          <w:rFonts w:hint="eastAsia" w:ascii="宋体" w:hAnsi="宋体"/>
          <w:bCs/>
          <w:color w:val="000000"/>
          <w:sz w:val="36"/>
          <w:szCs w:val="36"/>
          <w:highlight w:val="none"/>
          <w:lang w:eastAsia="zh-CN"/>
        </w:rPr>
        <w:t xml:space="preserve">常州市新北区三井街道办事处</w:t>
      </w:r>
      <w:r>
        <w:rPr>
          <w:rFonts w:hint="eastAsia" w:ascii="宋体" w:hAnsi="宋体"/>
          <w:bCs/>
          <w:color w:val="000000"/>
          <w:sz w:val="36"/>
          <w:szCs w:val="36"/>
          <w:highlight w:val="none"/>
        </w:rPr>
        <w:t xml:space="preserve"> </w:t>
      </w:r>
      <w:r>
        <w:rPr>
          <w:rFonts w:hint="eastAsia" w:ascii="宋体" w:hAnsi="宋体"/>
          <w:bCs/>
          <w:color w:val="000000"/>
          <w:sz w:val="36"/>
          <w:szCs w:val="36"/>
          <w:highlight w:val="none"/>
        </w:rPr>
      </w:r>
      <w:r/>
    </w:p>
    <w:p>
      <w:pPr>
        <w:pStyle w:val="840"/>
        <w:ind w:firstLine="720"/>
        <w:jc w:val="left"/>
        <w:spacing w:line="360" w:lineRule="auto"/>
        <w:tabs>
          <w:tab w:val="left" w:pos="3240" w:leader="none"/>
          <w:tab w:val="left" w:pos="3420" w:leader="none"/>
        </w:tabs>
        <w:rPr>
          <w:rFonts w:ascii="宋体" w:hAnsi="宋体"/>
          <w:bCs/>
          <w:color w:val="000000"/>
          <w:sz w:val="36"/>
          <w:szCs w:val="36"/>
          <w:highlight w:val="none"/>
        </w:rPr>
      </w:pPr>
      <w:r/>
      <w:bookmarkEnd w:id="1"/>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840"/>
        <w:jc w:val="left"/>
        <w:widowControl/>
        <w:rPr>
          <w:rFonts w:ascii="宋体" w:hAnsi="宋体"/>
          <w:b/>
          <w:color w:val="000000"/>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840"/>
        <w:jc w:val="center"/>
        <w:spacing w:line="360" w:lineRule="auto"/>
        <w:rPr>
          <w:rFonts w:ascii="宋体" w:hAnsi="宋体"/>
          <w:b/>
          <w:color w:val="000000"/>
          <w:sz w:val="36"/>
          <w:szCs w:val="36"/>
          <w:highlight w:val="none"/>
        </w:rPr>
        <w:outlineLvl w:val="0"/>
      </w:pPr>
      <w:r/>
      <w:bookmarkStart w:id="2" w:name="_Toc6210"/>
      <w:r/>
      <w:bookmarkStart w:id="3" w:name="_Toc140168422"/>
      <w:r/>
      <w:bookmarkStart w:id="4" w:name="_Toc99301418"/>
      <w:r/>
      <w:bookmarkStart w:id="5" w:name="_Toc146275788"/>
      <w:r>
        <w:rPr>
          <w:rFonts w:ascii="宋体" w:hAnsi="宋体"/>
          <w:b/>
          <w:color w:val="000000"/>
          <w:sz w:val="36"/>
          <w:szCs w:val="36"/>
          <w:highlight w:val="none"/>
        </w:rPr>
        <w:t xml:space="preserve">目      录</w:t>
      </w:r>
      <w:bookmarkEnd w:id="2"/>
      <w:r/>
      <w:bookmarkEnd w:id="3"/>
      <w:r/>
      <w:bookmarkEnd w:id="4"/>
      <w:r/>
      <w:bookmarkEnd w:id="5"/>
      <w:r>
        <w:rPr>
          <w:rFonts w:ascii="宋体" w:hAnsi="宋体"/>
          <w:b/>
          <w:color w:val="000000"/>
          <w:sz w:val="36"/>
          <w:szCs w:val="36"/>
          <w:highlight w:val="none"/>
        </w:rPr>
      </w:r>
      <w:r/>
    </w:p>
    <w:p>
      <w:pPr>
        <w:pStyle w:val="840"/>
        <w:rPr>
          <w:rFonts w:ascii="宋体" w:hAnsi="宋体"/>
          <w:color w:val="000000"/>
          <w:highlight w:val="none"/>
        </w:rPr>
      </w:pPr>
      <w:r>
        <w:rPr>
          <w:rFonts w:ascii="宋体" w:hAnsi="宋体"/>
          <w:color w:val="000000"/>
          <w:highlight w:val="none"/>
        </w:rPr>
      </w:r>
      <w:r/>
    </w:p>
    <w:p>
      <w:pPr>
        <w:pStyle w:val="840"/>
        <w:rPr>
          <w:rFonts w:ascii="宋体" w:hAnsi="宋体"/>
          <w:color w:val="000000"/>
          <w:highlight w:val="none"/>
        </w:rPr>
      </w:pPr>
      <w:r>
        <w:rPr>
          <w:rFonts w:ascii="宋体" w:hAnsi="宋体"/>
          <w:color w:val="000000"/>
          <w:highlight w:val="none"/>
        </w:rPr>
      </w:r>
      <w:r/>
    </w:p>
    <w:p>
      <w:pPr>
        <w:pStyle w:val="840"/>
        <w:rPr>
          <w:rFonts w:ascii="宋体" w:hAnsi="宋体"/>
          <w:color w:val="000000"/>
          <w:highlight w:val="none"/>
        </w:rPr>
      </w:pPr>
      <w:r>
        <w:rPr>
          <w:rFonts w:ascii="宋体" w:hAnsi="宋体"/>
          <w:color w:val="000000"/>
          <w:highlight w:val="none"/>
        </w:rPr>
      </w:r>
      <w:r/>
    </w:p>
    <w:p>
      <w:pPr>
        <w:pStyle w:val="893"/>
        <w:tabs>
          <w:tab w:val="right" w:pos="9272" w:leader="dot"/>
        </w:tabs>
        <w:rPr>
          <w:color w:val="000000"/>
          <w:sz w:val="32"/>
          <w:szCs w:val="32"/>
          <w:highlight w:val="none"/>
        </w:rPr>
      </w:pPr>
      <w:r>
        <w:rPr>
          <w:b w:val="0"/>
          <w:color w:val="000000"/>
          <w:highlight w:val="none"/>
        </w:rPr>
        <w:fldChar w:fldCharType="begin"/>
      </w:r>
      <w:r>
        <w:rPr>
          <w:b w:val="0"/>
          <w:color w:val="000000"/>
          <w:highlight w:val="none"/>
        </w:rPr>
        <w:instrText xml:space="preserve"> TOC \o "1-1" \h \z \u </w:instrText>
      </w:r>
      <w:r>
        <w:rPr>
          <w:b w:val="0"/>
          <w:color w:val="000000"/>
          <w:highlight w:val="none"/>
        </w:rPr>
        <w:fldChar w:fldCharType="separate"/>
      </w:r>
      <w:r>
        <w:rPr>
          <w:color w:val="000000"/>
          <w:sz w:val="32"/>
          <w:szCs w:val="32"/>
          <w:highlight w:val="none"/>
        </w:rPr>
        <w:fldChar w:fldCharType="begin"/>
      </w:r>
      <w:r>
        <w:rPr>
          <w:color w:val="000000"/>
          <w:sz w:val="32"/>
          <w:szCs w:val="32"/>
          <w:highlight w:val="none"/>
        </w:rPr>
        <w:instrText xml:space="preserve"> HYPERLINK \l _Toc5670 </w:instrText>
      </w:r>
      <w:r>
        <w:rPr>
          <w:color w:val="000000"/>
          <w:sz w:val="32"/>
          <w:szCs w:val="32"/>
          <w:highlight w:val="none"/>
        </w:rPr>
        <w:fldChar w:fldCharType="separate"/>
      </w:r>
      <w:r>
        <w:rPr>
          <w:rFonts w:ascii="宋体" w:hAnsi="宋体"/>
          <w:color w:val="000000"/>
          <w:sz w:val="32"/>
          <w:szCs w:val="44"/>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_Toc5670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893"/>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_Toc19853 </w:instrText>
      </w:r>
      <w:r>
        <w:rPr>
          <w:color w:val="000000"/>
          <w:sz w:val="32"/>
          <w:szCs w:val="32"/>
          <w:highlight w:val="none"/>
        </w:rPr>
        <w:fldChar w:fldCharType="separate"/>
      </w:r>
      <w:r>
        <w:rPr>
          <w:rFonts w:ascii="宋体" w:hAnsi="宋体"/>
          <w:color w:val="000000"/>
          <w:sz w:val="32"/>
          <w:szCs w:val="44"/>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_Toc19853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893"/>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_Toc18256 </w:instrText>
      </w:r>
      <w:r>
        <w:rPr>
          <w:color w:val="000000"/>
          <w:sz w:val="32"/>
          <w:szCs w:val="32"/>
          <w:highlight w:val="none"/>
        </w:rPr>
        <w:fldChar w:fldCharType="separate"/>
      </w:r>
      <w:r>
        <w:rPr>
          <w:rFonts w:ascii="宋体" w:hAnsi="宋体"/>
          <w:color w:val="000000"/>
          <w:sz w:val="32"/>
          <w:szCs w:val="44"/>
          <w:highlight w:val="none"/>
        </w:rPr>
        <w:t xml:space="preserve">第三章   资格审查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_Toc18256 \h </w:instrText>
      </w:r>
      <w:r>
        <w:rPr>
          <w:color w:val="000000"/>
          <w:sz w:val="32"/>
          <w:szCs w:val="32"/>
          <w:highlight w:val="none"/>
        </w:rPr>
        <w:fldChar w:fldCharType="separate"/>
      </w:r>
      <w:r>
        <w:rPr>
          <w:color w:val="000000"/>
          <w:sz w:val="32"/>
          <w:szCs w:val="32"/>
          <w:highlight w:val="none"/>
        </w:rPr>
        <w:t xml:space="preserve">18</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893"/>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_Toc8337 </w:instrText>
      </w:r>
      <w:r>
        <w:rPr>
          <w:color w:val="000000"/>
          <w:sz w:val="32"/>
          <w:szCs w:val="32"/>
          <w:highlight w:val="none"/>
        </w:rPr>
        <w:fldChar w:fldCharType="separate"/>
      </w:r>
      <w:r>
        <w:rPr>
          <w:rFonts w:ascii="宋体" w:hAnsi="宋体"/>
          <w:color w:val="000000"/>
          <w:sz w:val="32"/>
          <w:szCs w:val="44"/>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_Toc8337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893"/>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_Toc3548 </w:instrText>
      </w:r>
      <w:r>
        <w:rPr>
          <w:color w:val="000000"/>
          <w:sz w:val="32"/>
          <w:szCs w:val="32"/>
          <w:highlight w:val="none"/>
        </w:rPr>
        <w:fldChar w:fldCharType="separate"/>
      </w:r>
      <w:r>
        <w:rPr>
          <w:rFonts w:ascii="宋体" w:hAnsi="宋体"/>
          <w:color w:val="000000"/>
          <w:sz w:val="32"/>
          <w:szCs w:val="44"/>
          <w:highlight w:val="none"/>
        </w:rPr>
        <w:t xml:space="preserve">第五章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_Toc3548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893"/>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_Toc13507 </w:instrText>
      </w:r>
      <w:r>
        <w:rPr>
          <w:color w:val="000000"/>
          <w:sz w:val="32"/>
          <w:szCs w:val="32"/>
          <w:highlight w:val="none"/>
        </w:rPr>
        <w:fldChar w:fldCharType="separate"/>
      </w:r>
      <w:r>
        <w:rPr>
          <w:rFonts w:ascii="宋体" w:hAnsi="宋体"/>
          <w:color w:val="000000"/>
          <w:sz w:val="32"/>
          <w:szCs w:val="44"/>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_Toc13507 \h </w:instrText>
      </w:r>
      <w:r>
        <w:rPr>
          <w:color w:val="000000"/>
          <w:sz w:val="32"/>
          <w:szCs w:val="32"/>
          <w:highlight w:val="none"/>
        </w:rPr>
        <w:fldChar w:fldCharType="separate"/>
      </w:r>
      <w:r>
        <w:rPr>
          <w:color w:val="000000"/>
          <w:sz w:val="32"/>
          <w:szCs w:val="32"/>
          <w:highlight w:val="none"/>
        </w:rPr>
        <w:t xml:space="preserve">41</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893"/>
        <w:tabs>
          <w:tab w:val="right" w:pos="9272" w:leader="dot"/>
        </w:tabs>
        <w:rPr>
          <w:color w:val="000000"/>
          <w:highlight w:val="none"/>
        </w:rPr>
      </w:pPr>
      <w:r>
        <w:rPr>
          <w:color w:val="000000"/>
          <w:sz w:val="32"/>
          <w:szCs w:val="32"/>
          <w:highlight w:val="none"/>
        </w:rPr>
        <w:fldChar w:fldCharType="begin"/>
      </w:r>
      <w:r>
        <w:rPr>
          <w:color w:val="000000"/>
          <w:sz w:val="32"/>
          <w:szCs w:val="32"/>
          <w:highlight w:val="none"/>
        </w:rPr>
        <w:instrText xml:space="preserve"> HYPERLINK \l _Toc9705 </w:instrText>
      </w:r>
      <w:r>
        <w:rPr>
          <w:color w:val="000000"/>
          <w:sz w:val="32"/>
          <w:szCs w:val="32"/>
          <w:highlight w:val="none"/>
        </w:rPr>
        <w:fldChar w:fldCharType="separate"/>
      </w:r>
      <w:r>
        <w:rPr>
          <w:rFonts w:ascii="宋体" w:hAnsi="宋体"/>
          <w:color w:val="000000"/>
          <w:sz w:val="32"/>
          <w:szCs w:val="44"/>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_Toc9705 \h </w:instrText>
      </w:r>
      <w:r>
        <w:rPr>
          <w:color w:val="000000"/>
          <w:sz w:val="32"/>
          <w:szCs w:val="32"/>
          <w:highlight w:val="none"/>
        </w:rPr>
        <w:fldChar w:fldCharType="separate"/>
      </w:r>
      <w:r>
        <w:rPr>
          <w:color w:val="000000"/>
          <w:sz w:val="32"/>
          <w:szCs w:val="32"/>
          <w:highlight w:val="none"/>
        </w:rPr>
        <w:t xml:space="preserve">48</w:t>
      </w:r>
      <w:r>
        <w:rPr>
          <w:color w:val="000000"/>
          <w:sz w:val="32"/>
          <w:szCs w:val="32"/>
          <w:highlight w:val="none"/>
        </w:rPr>
        <w:fldChar w:fldCharType="end"/>
      </w:r>
      <w:r>
        <w:rPr>
          <w:color w:val="000000"/>
          <w:sz w:val="32"/>
          <w:szCs w:val="32"/>
          <w:highlight w:val="none"/>
        </w:rPr>
        <w:fldChar w:fldCharType="end"/>
      </w:r>
      <w:r>
        <w:rPr>
          <w:color w:val="000000"/>
          <w:highlight w:val="none"/>
        </w:rPr>
      </w:r>
      <w:r/>
    </w:p>
    <w:p>
      <w:pPr>
        <w:pStyle w:val="893"/>
        <w:spacing w:line="360" w:lineRule="auto"/>
        <w:tabs>
          <w:tab w:val="left" w:pos="1050" w:leader="none"/>
          <w:tab w:val="right" w:pos="8937" w:leader="dot"/>
        </w:tabs>
        <w:rPr>
          <w:b w:val="0"/>
          <w:color w:val="000000"/>
          <w:highlight w:val="none"/>
        </w:rPr>
      </w:pPr>
      <w:r>
        <w:rPr>
          <w:color w:val="000000"/>
          <w:highlight w:val="none"/>
        </w:rPr>
        <w:fldChar w:fldCharType="end"/>
      </w:r>
      <w:r>
        <w:rPr>
          <w:b w:val="0"/>
          <w:color w:val="000000"/>
          <w:highlight w:val="none"/>
        </w:rPr>
      </w:r>
      <w:r/>
    </w:p>
    <w:p>
      <w:pPr>
        <w:pStyle w:val="840"/>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840"/>
        <w:jc w:val="center"/>
        <w:spacing w:line="360" w:lineRule="auto"/>
        <w:rPr>
          <w:rFonts w:ascii="宋体" w:hAnsi="宋体"/>
          <w:b/>
          <w:color w:val="000000"/>
          <w:sz w:val="36"/>
          <w:szCs w:val="36"/>
          <w:highlight w:val="none"/>
        </w:rPr>
        <w:sectPr>
          <w:headerReference w:type="first" r:id="rId11"/>
          <w:footerReference w:type="default" r:id="rId17"/>
          <w:footnotePr/>
          <w:endnotePr/>
          <w:type w:val="nextColumn"/>
          <w:pgSz w:w="11907" w:h="16840" w:orient="portrait"/>
          <w:pgMar w:top="1418" w:right="1134" w:bottom="1418" w:left="1501" w:header="851"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840"/>
        <w:jc w:val="center"/>
        <w:spacing w:line="360" w:lineRule="auto"/>
        <w:rPr>
          <w:rFonts w:ascii="宋体" w:hAnsi="宋体"/>
          <w:b/>
          <w:color w:val="000000"/>
          <w:sz w:val="36"/>
          <w:szCs w:val="36"/>
          <w:highlight w:val="none"/>
        </w:rPr>
        <w:outlineLvl w:val="0"/>
      </w:pPr>
      <w:r/>
      <w:bookmarkStart w:id="6" w:name="_Toc5670"/>
      <w:r>
        <w:rPr>
          <w:rFonts w:ascii="宋体" w:hAnsi="宋体"/>
          <w:b/>
          <w:color w:val="000000"/>
          <w:sz w:val="36"/>
          <w:szCs w:val="36"/>
          <w:highlight w:val="none"/>
        </w:rPr>
        <w:t xml:space="preserve">第一章   投标邀请</w:t>
      </w:r>
      <w:bookmarkEnd w:id="6"/>
      <w:r>
        <w:rPr>
          <w:rFonts w:ascii="宋体" w:hAnsi="宋体"/>
          <w:b/>
          <w:color w:val="000000"/>
          <w:sz w:val="36"/>
          <w:szCs w:val="36"/>
          <w:highlight w:val="none"/>
        </w:rPr>
      </w:r>
      <w:r/>
    </w:p>
    <w:p>
      <w:pPr>
        <w:pStyle w:val="840"/>
        <w:ind w:firstLine="480"/>
        <w:spacing w:line="360" w:lineRule="auto"/>
        <w:rPr>
          <w:rFonts w:ascii="宋体" w:hAnsi="宋体"/>
          <w:color w:val="000000"/>
          <w:sz w:val="24"/>
          <w:highlight w:val="none"/>
        </w:rPr>
      </w:pPr>
      <w:r/>
      <w:bookmarkStart w:id="7" w:name="_Toc28359002"/>
      <w:r/>
      <w:bookmarkStart w:id="8" w:name="_Toc35393790"/>
      <w:r/>
      <w:bookmarkStart w:id="9" w:name="_Toc35393621"/>
      <w:r/>
      <w:bookmarkStart w:id="10" w:name="_Toc28359079"/>
      <w:r/>
      <w:bookmarkStart w:id="11" w:name="_Hlk24379207"/>
      <w:r>
        <w:rPr>
          <w:rFonts w:ascii="宋体" w:hAnsi="宋体"/>
          <w:color w:val="000000"/>
          <w:sz w:val="24"/>
          <w:highlight w:val="none"/>
        </w:rPr>
      </w:r>
      <w:r/>
    </w:p>
    <w:p>
      <w:pPr>
        <w:pStyle w:val="842"/>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7"/>
      <w:r/>
      <w:bookmarkEnd w:id="8"/>
      <w:r/>
      <w:bookmarkEnd w:id="9"/>
      <w:r/>
      <w:bookmarkEnd w:id="10"/>
      <w:r>
        <w:rPr>
          <w:rFonts w:hint="eastAsia" w:ascii="宋体" w:hAnsi="宋体" w:eastAsia="宋体" w:cs="宋体"/>
          <w:color w:val="000000"/>
          <w:sz w:val="24"/>
          <w:szCs w:val="24"/>
          <w:highlight w:val="none"/>
        </w:rPr>
      </w:r>
      <w:r/>
    </w:p>
    <w:p>
      <w:pPr>
        <w:pStyle w:val="84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JSZC-320411008-YTZB-G2026-0025</w:t>
      </w:r>
      <w:r>
        <w:rPr>
          <w:rFonts w:hint="eastAsia" w:ascii="宋体" w:hAnsi="宋体" w:eastAsia="宋体" w:cs="宋体"/>
          <w:color w:val="000000"/>
          <w:sz w:val="24"/>
          <w:highlight w:val="none"/>
          <w:lang w:val="en-US" w:eastAsia="zh-CN"/>
        </w:rPr>
      </w:r>
      <w:r/>
    </w:p>
    <w:p>
      <w:pPr>
        <w:pStyle w:val="840"/>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1"/>
      <w:r>
        <w:rPr>
          <w:rFonts w:hint="eastAsia" w:ascii="宋体" w:hAnsi="宋体" w:eastAsia="宋体" w:cs="宋体"/>
          <w:color w:val="000000"/>
          <w:sz w:val="24"/>
          <w:highlight w:val="none"/>
          <w:lang w:eastAsia="zh-CN"/>
        </w:rPr>
        <w:t xml:space="preserve">常州市新北区三井街道清扫保洁服务项目</w:t>
      </w:r>
      <w:r>
        <w:rPr>
          <w:rFonts w:hint="eastAsia" w:ascii="宋体" w:hAnsi="宋体" w:eastAsia="宋体" w:cs="宋体"/>
          <w:color w:val="000000"/>
          <w:sz w:val="24"/>
          <w:highlight w:val="none"/>
          <w:lang w:eastAsia="zh-CN"/>
        </w:rPr>
      </w:r>
      <w:r/>
    </w:p>
    <w:p>
      <w:pPr>
        <w:pStyle w:val="84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3.项目预算金额：人民币</w:t>
      </w:r>
      <w:r>
        <w:rPr>
          <w:rFonts w:hint="eastAsia" w:ascii="宋体" w:hAnsi="宋体" w:eastAsia="宋体" w:cs="宋体"/>
          <w:color w:val="000000"/>
          <w:sz w:val="24"/>
          <w:highlight w:val="none"/>
          <w:lang w:val="en-US" w:eastAsia="zh-CN"/>
        </w:rPr>
        <w:t xml:space="preserve">480万</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val="en-US" w:eastAsia="zh-CN"/>
        </w:rPr>
        <w:t xml:space="preserve">3年（160万元/年）</w:t>
      </w:r>
      <w:r>
        <w:rPr>
          <w:rFonts w:hint="eastAsia" w:ascii="宋体" w:hAnsi="宋体" w:eastAsia="宋体" w:cs="宋体"/>
          <w:color w:val="000000"/>
          <w:sz w:val="24"/>
          <w:highlight w:val="none"/>
          <w:lang w:val="en-US" w:eastAsia="zh-CN"/>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项目最高限价（控制价）：人民币</w:t>
      </w:r>
      <w:r>
        <w:rPr>
          <w:rFonts w:hint="eastAsia" w:ascii="宋体" w:hAnsi="宋体" w:eastAsia="宋体" w:cs="宋体"/>
          <w:color w:val="000000"/>
          <w:sz w:val="24"/>
          <w:highlight w:val="none"/>
          <w:lang w:val="en-US" w:eastAsia="zh-CN"/>
        </w:rPr>
        <w:t xml:space="preserve">480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（160万元/年）</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.采购需求：本项目为</w:t>
      </w:r>
      <w:r>
        <w:rPr>
          <w:rFonts w:hint="eastAsia" w:ascii="宋体" w:hAnsi="宋体" w:eastAsia="宋体" w:cs="宋体"/>
          <w:color w:val="000000"/>
          <w:sz w:val="24"/>
          <w:highlight w:val="none"/>
          <w:lang w:eastAsia="zh-CN"/>
        </w:rPr>
        <w:t xml:space="preserve">常州市新北区三井街道清扫保洁服务项目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包括但不限于汇丰二村、三村、王家新村、兰翔二村保洁服务；汇丰二村、三村范围内绿地植物养护等绿化日常管理工作；汇丰二村、三村内河的河道保洁；河海工业园环卫作业；燕兴万家塘的公厕保洁；具体保洁、绿化养护、河道保洁等服务范围以三井街道、相关社区指定范围为准。</w:t>
      </w:r>
      <w:r>
        <w:rPr>
          <w:rFonts w:hint="eastAsia" w:ascii="宋体" w:hAnsi="宋体" w:eastAsia="宋体" w:cs="宋体"/>
          <w:color w:val="000000"/>
          <w:sz w:val="24"/>
          <w:highlight w:val="none"/>
        </w:rPr>
        <w:t xml:space="preserve">具体内容详见</w:t>
      </w:r>
      <w:r>
        <w:rPr>
          <w:rFonts w:hint="eastAsia" w:ascii="宋体" w:hAnsi="宋体" w:eastAsia="宋体" w:cs="宋体"/>
          <w:color w:val="000000"/>
          <w:sz w:val="24"/>
          <w:highlight w:val="none"/>
          <w:lang w:eastAsia="zh-CN"/>
        </w:rPr>
        <w:t xml:space="preserve">公开招标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合同履行期限：合同一年一签，服务期限开始时间从接到招标人通知之日起开始计算。第一年的前三个月为试用期，试用期满经甲方考核合格后，本合同有效。一年合同期满经甲方考核满意后，可签订下一年合同，最多续签二次。</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.本项目是否接受联合体： □是  ■否。</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.本项目是否接受进口产品响应：□是   ■否。</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.本项目是否接受进口产品投标：□是  ■否。</w:t>
      </w:r>
      <w:r>
        <w:rPr>
          <w:rFonts w:hint="eastAsia" w:ascii="宋体" w:hAnsi="宋体" w:eastAsia="宋体" w:cs="宋体"/>
          <w:color w:val="000000"/>
          <w:sz w:val="24"/>
          <w:highlight w:val="none"/>
        </w:rPr>
      </w:r>
      <w:r/>
    </w:p>
    <w:p>
      <w:pPr>
        <w:pStyle w:val="842"/>
        <w:jc w:val="left"/>
        <w:spacing w:before="0" w:line="360" w:lineRule="auto"/>
        <w:rPr>
          <w:rFonts w:hint="eastAsia" w:ascii="宋体" w:hAnsi="宋体" w:eastAsia="宋体" w:cs="宋体"/>
          <w:color w:val="000000"/>
          <w:sz w:val="24"/>
          <w:szCs w:val="24"/>
          <w:highlight w:val="none"/>
        </w:rPr>
      </w:pPr>
      <w:r/>
      <w:bookmarkStart w:id="12" w:name="_Toc28359003"/>
      <w:r/>
      <w:bookmarkStart w:id="13" w:name="_Toc28359080"/>
      <w:r/>
      <w:bookmarkStart w:id="14" w:name="_Toc35393791"/>
      <w:r/>
      <w:bookmarkStart w:id="15" w:name="_Toc35393622"/>
      <w:r>
        <w:rPr>
          <w:rFonts w:hint="eastAsia" w:ascii="宋体" w:hAnsi="宋体" w:eastAsia="宋体" w:cs="宋体"/>
          <w:color w:val="000000"/>
          <w:sz w:val="24"/>
          <w:szCs w:val="24"/>
          <w:highlight w:val="none"/>
        </w:rPr>
        <w:t xml:space="preserve">二、申请人的资格要求（须同时满足）</w:t>
      </w:r>
      <w:bookmarkEnd w:id="12"/>
      <w:r/>
      <w:bookmarkEnd w:id="13"/>
      <w:r/>
      <w:bookmarkEnd w:id="14"/>
      <w:r/>
      <w:bookmarkEnd w:id="15"/>
      <w:r>
        <w:rPr>
          <w:rFonts w:hint="eastAsia" w:ascii="宋体" w:hAnsi="宋体" w:eastAsia="宋体" w:cs="宋体"/>
          <w:color w:val="000000"/>
          <w:sz w:val="24"/>
          <w:szCs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bookmarkStart w:id="16" w:name="_Toc28359081"/>
      <w:r/>
      <w:bookmarkStart w:id="17" w:name="_Toc28359004"/>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840"/>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840"/>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840"/>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840"/>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3.3其他特定资格要求：</w:t>
      </w:r>
      <w:bookmarkEnd w:id="16"/>
      <w:r/>
      <w:bookmarkEnd w:id="17"/>
      <w:r/>
      <w:bookmarkStart w:id="18" w:name="_Toc35393792"/>
      <w:r/>
      <w:bookmarkStart w:id="19" w:name="_Toc35393623"/>
      <w:r>
        <w:rPr>
          <w:rFonts w:hint="eastAsia" w:ascii="宋体" w:hAnsi="宋体" w:eastAsia="宋体" w:cs="宋体"/>
          <w:b/>
          <w:bCs/>
          <w:color w:val="000000"/>
          <w:sz w:val="24"/>
          <w:highlight w:val="none"/>
        </w:rPr>
        <w:t xml:space="preserve">无。</w:t>
      </w:r>
      <w:r>
        <w:rPr>
          <w:rFonts w:hint="eastAsia" w:ascii="宋体" w:hAnsi="宋体" w:eastAsia="宋体" w:cs="宋体"/>
          <w:color w:val="000000"/>
          <w:sz w:val="24"/>
          <w:highlight w:val="none"/>
        </w:rPr>
      </w:r>
      <w:r/>
    </w:p>
    <w:p>
      <w:pPr>
        <w:pStyle w:val="842"/>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8"/>
      <w:r/>
      <w:bookmarkEnd w:id="19"/>
      <w:r>
        <w:rPr>
          <w:rFonts w:hint="eastAsia" w:ascii="宋体" w:hAnsi="宋体" w:eastAsia="宋体" w:cs="宋体"/>
          <w:color w:val="000000"/>
          <w:sz w:val="24"/>
          <w:szCs w:val="24"/>
          <w:highlight w:val="none"/>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1.时间：</w:t>
      </w:r>
      <w:r>
        <w:rPr>
          <w:rFonts w:ascii="SimSun" w:hAnsi="SimSun" w:eastAsia="SimSun" w:cs="SimSun"/>
          <w:color w:val="000000"/>
          <w:sz w:val="24"/>
        </w:rPr>
        <w:t xml:space="preserve">自招标文件公告发布之日起5个工作日</w:t>
      </w:r>
      <w:r>
        <w:rPr>
          <w:rFonts w:hint="eastAsia" w:ascii="宋体" w:hAnsi="宋体" w:eastAsia="宋体" w:cs="宋体"/>
          <w:color w:val="000000"/>
          <w:sz w:val="24"/>
          <w:highlight w:val="none"/>
          <w:lang w:bidi="ar"/>
        </w:rPr>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w:t>
      </w:r>
      <w:r>
        <w:rPr>
          <w:rFonts w:hint="eastAsia" w:ascii="宋体" w:hAnsi="宋体" w:eastAsia="宋体" w:cs="宋体"/>
          <w:color w:val="000000"/>
          <w:sz w:val="24"/>
          <w:highlight w:val="none"/>
          <w:lang w:val="en-US" w:eastAsia="zh-CN" w:bidi="ar"/>
        </w:rPr>
        <w:t xml:space="preserve">政府采购一体化平台</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84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842"/>
        <w:jc w:val="left"/>
        <w:spacing w:before="0" w:line="360" w:lineRule="auto"/>
        <w:widowControl/>
        <w:rPr>
          <w:rFonts w:hint="eastAsia" w:ascii="宋体" w:hAnsi="宋体" w:eastAsia="宋体" w:cs="宋体"/>
          <w:color w:val="000000"/>
          <w:sz w:val="24"/>
          <w:szCs w:val="24"/>
          <w:highlight w:val="none"/>
        </w:rPr>
      </w:pPr>
      <w:r/>
      <w:bookmarkStart w:id="20" w:name="_Toc28359082"/>
      <w:r/>
      <w:bookmarkStart w:id="21" w:name="_Toc28359005"/>
      <w:r/>
      <w:bookmarkStart w:id="22" w:name="_Toc35393793"/>
      <w:r/>
      <w:bookmarkStart w:id="23" w:name="_Toc35393624"/>
      <w:r>
        <w:rPr>
          <w:rFonts w:hint="eastAsia" w:ascii="宋体" w:hAnsi="宋体" w:eastAsia="宋体" w:cs="宋体"/>
          <w:color w:val="000000"/>
          <w:sz w:val="24"/>
          <w:szCs w:val="24"/>
          <w:highlight w:val="none"/>
        </w:rPr>
        <w:t xml:space="preserve">四、提交投标文件</w:t>
      </w:r>
      <w:bookmarkEnd w:id="20"/>
      <w:r/>
      <w:bookmarkEnd w:id="21"/>
      <w:r>
        <w:rPr>
          <w:rFonts w:hint="eastAsia" w:ascii="宋体" w:hAnsi="宋体" w:eastAsia="宋体" w:cs="宋体"/>
          <w:color w:val="000000"/>
          <w:sz w:val="24"/>
          <w:szCs w:val="24"/>
          <w:highlight w:val="none"/>
        </w:rPr>
        <w:t xml:space="preserve">截止时间、开标时间和地点</w:t>
      </w:r>
      <w:bookmarkEnd w:id="22"/>
      <w:r/>
      <w:bookmarkEnd w:id="23"/>
      <w:r>
        <w:rPr>
          <w:rFonts w:hint="eastAsia" w:ascii="宋体" w:hAnsi="宋体" w:eastAsia="宋体" w:cs="宋体"/>
          <w:color w:val="000000"/>
          <w:sz w:val="24"/>
          <w:szCs w:val="24"/>
          <w:highlight w:val="none"/>
        </w:rPr>
      </w:r>
      <w:r/>
    </w:p>
    <w:p>
      <w:pPr>
        <w:pStyle w:val="840"/>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23</w:t>
      </w:r>
      <w:r>
        <w:rPr>
          <w:rFonts w:hint="eastAsia" w:ascii="宋体" w:hAnsi="宋体" w:eastAsia="宋体" w:cs="宋体"/>
          <w:color w:val="000000"/>
          <w:sz w:val="24"/>
          <w:highlight w:val="none"/>
          <w:lang w:bidi="ar"/>
        </w:rPr>
        <w:t xml:space="preserve">日 </w:t>
      </w:r>
      <w:r>
        <w:rPr>
          <w:rFonts w:hint="eastAsia" w:ascii="宋体" w:hAnsi="宋体" w:eastAsia="宋体" w:cs="宋体"/>
          <w:color w:val="000000"/>
          <w:sz w:val="24"/>
          <w:highlight w:val="none"/>
          <w:lang w:val="en-US" w:eastAsia="zh-CN" w:bidi="ar"/>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0</w:t>
      </w:r>
      <w:r>
        <w:rPr>
          <w:rFonts w:hint="eastAsia" w:ascii="宋体" w:hAnsi="宋体" w:eastAsia="宋体" w:cs="宋体"/>
          <w:color w:val="000000"/>
          <w:sz w:val="24"/>
          <w:highlight w:val="none"/>
          <w:lang w:bidi="ar"/>
        </w:rPr>
        <w:t xml:space="preserve">0分（北京时间）。</w:t>
      </w:r>
      <w:r>
        <w:rPr>
          <w:rFonts w:hint="eastAsia" w:ascii="宋体" w:hAnsi="宋体" w:eastAsia="宋体" w:cs="宋体"/>
          <w:bCs/>
          <w:color w:val="000000"/>
          <w:sz w:val="24"/>
          <w:highlight w:val="none"/>
          <w:u w:val="single"/>
        </w:rPr>
      </w:r>
      <w:r/>
    </w:p>
    <w:p>
      <w:pPr>
        <w:pStyle w:val="840"/>
        <w:ind w:firstLine="480"/>
        <w:spacing w:line="360" w:lineRule="auto"/>
        <w:rPr>
          <w:rFonts w:hint="eastAsia" w:ascii="宋体" w:hAnsi="宋体" w:eastAsia="宋体" w:cs="宋体"/>
          <w:color w:val="000000"/>
          <w:sz w:val="24"/>
          <w:highlight w:val="none"/>
          <w:u w:val="none"/>
          <w:lang w:val="zh-TW" w:bidi="ar"/>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u w:val="none"/>
        </w:rPr>
        <w:t xml:space="preserve">本项目采用远程“不见面”交易方式，无需到现场提交，请</w:t>
      </w:r>
      <w:r>
        <w:rPr>
          <w:rFonts w:hint="eastAsia" w:ascii="宋体" w:hAnsi="宋体" w:eastAsia="宋体" w:cs="宋体"/>
          <w:color w:val="000000"/>
          <w:sz w:val="24"/>
          <w:highlight w:val="none"/>
          <w:u w:val="none"/>
          <w:lang w:eastAsia="zh-CN"/>
        </w:rPr>
        <w:t xml:space="preserve">投标人</w:t>
      </w:r>
      <w:r>
        <w:rPr>
          <w:rFonts w:hint="eastAsia" w:ascii="宋体" w:hAnsi="宋体" w:eastAsia="宋体" w:cs="宋体"/>
          <w:color w:val="000000"/>
          <w:sz w:val="24"/>
          <w:highlight w:val="none"/>
          <w:u w:val="none"/>
        </w:rPr>
        <w:t xml:space="preserve">在提交时间截止前提前登入“苏采云”（网址：</w:t>
      </w:r>
      <w:r>
        <w:rPr>
          <w:rFonts w:hint="eastAsia" w:ascii="宋体" w:hAnsi="宋体" w:eastAsia="宋体" w:cs="宋体"/>
          <w:color w:val="000000"/>
          <w:sz w:val="24"/>
          <w:highlight w:val="none"/>
          <w:u w:val="none"/>
        </w:rPr>
        <w:br w:type="textWrapping" w:clear="all"/>
      </w:r>
      <w:r>
        <w:rPr>
          <w:rFonts w:hint="eastAsia" w:ascii="宋体" w:hAnsi="宋体" w:eastAsia="宋体" w:cs="宋体"/>
          <w:color w:val="000000"/>
          <w:sz w:val="24"/>
          <w:highlight w:val="none"/>
          <w:u w:val="none"/>
        </w:rPr>
        <w:t xml:space="preserve">http://jszfcg.jsczt.cn/jszc/login?rf=http://jszfcg.jsczt.cn/jszc/workspaceForPurchaseCenter），通过系统在线提交电子</w:t>
      </w:r>
      <w:r>
        <w:rPr>
          <w:rFonts w:hint="eastAsia" w:ascii="宋体" w:hAnsi="宋体" w:eastAsia="宋体" w:cs="宋体"/>
          <w:color w:val="000000"/>
          <w:sz w:val="24"/>
          <w:highlight w:val="none"/>
          <w:u w:val="none"/>
          <w:lang w:eastAsia="zh-CN"/>
        </w:rPr>
        <w:t xml:space="preserve">投标</w:t>
      </w:r>
      <w:r>
        <w:rPr>
          <w:rFonts w:hint="eastAsia" w:ascii="宋体" w:hAnsi="宋体" w:eastAsia="宋体" w:cs="宋体"/>
          <w:color w:val="000000"/>
          <w:sz w:val="24"/>
          <w:highlight w:val="none"/>
          <w:u w:val="none"/>
        </w:rPr>
        <w:t xml:space="preserve">文件。</w:t>
      </w:r>
      <w:r>
        <w:rPr>
          <w:rFonts w:hint="eastAsia" w:ascii="宋体" w:hAnsi="宋体" w:eastAsia="宋体" w:cs="宋体"/>
          <w:color w:val="000000"/>
          <w:sz w:val="24"/>
          <w:highlight w:val="none"/>
          <w:u w:val="none"/>
          <w:lang w:val="zh-TW" w:bidi="ar"/>
        </w:rPr>
      </w:r>
      <w:r/>
    </w:p>
    <w:p>
      <w:pPr>
        <w:pStyle w:val="842"/>
        <w:jc w:val="left"/>
        <w:spacing w:before="0" w:line="360" w:lineRule="auto"/>
        <w:rPr>
          <w:rFonts w:hint="eastAsia" w:ascii="宋体" w:hAnsi="宋体" w:eastAsia="宋体" w:cs="宋体"/>
          <w:color w:val="000000"/>
          <w:sz w:val="24"/>
          <w:szCs w:val="24"/>
          <w:highlight w:val="none"/>
        </w:rPr>
      </w:pPr>
      <w:r/>
      <w:bookmarkStart w:id="24" w:name="_Toc35393794"/>
      <w:r/>
      <w:bookmarkStart w:id="25" w:name="_Toc35393625"/>
      <w:r/>
      <w:bookmarkStart w:id="26" w:name="_Toc28359084"/>
      <w:r/>
      <w:bookmarkStart w:id="27" w:name="_Toc28359007"/>
      <w:r>
        <w:rPr>
          <w:rFonts w:hint="eastAsia" w:ascii="宋体" w:hAnsi="宋体" w:eastAsia="宋体" w:cs="宋体"/>
          <w:color w:val="000000"/>
          <w:sz w:val="24"/>
          <w:szCs w:val="24"/>
          <w:highlight w:val="none"/>
        </w:rPr>
        <w:t xml:space="preserve">五、公告期限</w:t>
      </w:r>
      <w:bookmarkEnd w:id="24"/>
      <w:r/>
      <w:bookmarkEnd w:id="25"/>
      <w:r/>
      <w:bookmarkEnd w:id="26"/>
      <w:r/>
      <w:bookmarkEnd w:id="27"/>
      <w:r>
        <w:rPr>
          <w:rFonts w:hint="eastAsia" w:ascii="宋体" w:hAnsi="宋体" w:eastAsia="宋体" w:cs="宋体"/>
          <w:color w:val="000000"/>
          <w:sz w:val="24"/>
          <w:szCs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842"/>
        <w:jc w:val="left"/>
        <w:spacing w:before="0" w:line="360" w:lineRule="auto"/>
        <w:rPr>
          <w:rFonts w:hint="eastAsia" w:ascii="宋体" w:hAnsi="宋体" w:eastAsia="宋体" w:cs="宋体"/>
          <w:color w:val="000000"/>
          <w:sz w:val="24"/>
          <w:szCs w:val="24"/>
          <w:highlight w:val="none"/>
        </w:rPr>
      </w:pPr>
      <w:r/>
      <w:bookmarkStart w:id="28" w:name="_Toc35393626"/>
      <w:r/>
      <w:bookmarkStart w:id="29" w:name="_Toc35393795"/>
      <w:r>
        <w:rPr>
          <w:rFonts w:hint="eastAsia" w:ascii="宋体" w:hAnsi="宋体" w:eastAsia="宋体" w:cs="宋体"/>
          <w:color w:val="000000"/>
          <w:sz w:val="24"/>
          <w:szCs w:val="24"/>
          <w:highlight w:val="none"/>
        </w:rPr>
        <w:t xml:space="preserve">六、其他补充事宜</w:t>
      </w:r>
      <w:bookmarkEnd w:id="28"/>
      <w:r/>
      <w:bookmarkEnd w:id="29"/>
      <w:r>
        <w:rPr>
          <w:rFonts w:hint="eastAsia" w:ascii="宋体" w:hAnsi="宋体" w:eastAsia="宋体" w:cs="宋体"/>
          <w:color w:val="000000"/>
          <w:sz w:val="24"/>
          <w:szCs w:val="24"/>
          <w:highlight w:val="none"/>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lang w:bidi="ar"/>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40"/>
        <w:ind w:firstLine="480"/>
        <w:jc w:val="left"/>
        <w:spacing w:line="360" w:lineRule="auto"/>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2.本项目采用全流程电子化采购方式，请供应商认真学习“苏采云”</w:t>
      </w:r>
      <w:r>
        <w:rPr>
          <w:rFonts w:hint="eastAsia" w:ascii="宋体" w:hAnsi="宋体" w:eastAsia="宋体" w:cs="宋体"/>
          <w:color w:val="000000"/>
          <w:sz w:val="24"/>
          <w:highlight w:val="none"/>
          <w:lang w:eastAsia="zh-CN" w:bidi="ar"/>
        </w:rPr>
        <w:t xml:space="preserve">政府采购一体化平台</w:t>
      </w:r>
      <w:r>
        <w:rPr>
          <w:rFonts w:hint="eastAsia" w:ascii="宋体" w:hAnsi="宋体" w:eastAsia="宋体" w:cs="宋体"/>
          <w:color w:val="000000"/>
          <w:sz w:val="24"/>
          <w:highlight w:val="none"/>
          <w:lang w:bidi="ar"/>
        </w:rPr>
        <w:t xml:space="preserve">发布的相关操作手册，办理CA认证证书、进行“苏采云”</w:t>
      </w:r>
      <w:r>
        <w:rPr>
          <w:rFonts w:hint="eastAsia" w:ascii="宋体" w:hAnsi="宋体" w:eastAsia="宋体" w:cs="宋体"/>
          <w:color w:val="000000"/>
          <w:sz w:val="24"/>
          <w:highlight w:val="none"/>
          <w:lang w:eastAsia="zh-CN" w:bidi="ar"/>
        </w:rPr>
        <w:t xml:space="preserve">政府采购一体化平台</w:t>
      </w:r>
      <w:r>
        <w:rPr>
          <w:rFonts w:hint="eastAsia" w:ascii="宋体" w:hAnsi="宋体" w:eastAsia="宋体" w:cs="宋体"/>
          <w:color w:val="000000"/>
          <w:sz w:val="24"/>
          <w:highlight w:val="none"/>
          <w:lang w:bidi="ar"/>
        </w:rPr>
        <w:t xml:space="preserve">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840"/>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2.1办理CA认证证书</w:t>
      </w:r>
      <w:r>
        <w:rPr>
          <w:rFonts w:hint="eastAsia" w:ascii="宋体" w:hAnsi="宋体" w:eastAsia="宋体" w:cs="宋体"/>
          <w:color w:val="000000"/>
          <w:sz w:val="24"/>
          <w:highlight w:val="none"/>
          <w:lang w:bidi="ar"/>
        </w:rPr>
      </w:r>
      <w:r/>
    </w:p>
    <w:p>
      <w:pPr>
        <w:pStyle w:val="84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供应商登录常州市政府采购网“下载中心”下载并查阅 </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（供应商）政务CA证书办理指南，按照程序要求办理。</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2.2注册</w:t>
      </w:r>
      <w:r>
        <w:rPr>
          <w:rFonts w:hint="eastAsia" w:ascii="宋体" w:hAnsi="宋体" w:eastAsia="宋体" w:cs="宋体"/>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供应商操作指南”下载相关操作手册、操作视频等，查阅后进行自助注册。</w:t>
      </w:r>
      <w:r>
        <w:rPr>
          <w:rFonts w:hint="eastAsia" w:ascii="宋体" w:hAnsi="宋体" w:eastAsia="宋体" w:cs="宋体"/>
          <w:color w:val="000000"/>
          <w:sz w:val="24"/>
          <w:highlight w:val="none"/>
        </w:rPr>
      </w:r>
      <w:r/>
    </w:p>
    <w:p>
      <w:pPr>
        <w:pStyle w:val="840"/>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2.3控件、客户端下载</w:t>
      </w:r>
      <w:r>
        <w:rPr>
          <w:rFonts w:hint="eastAsia" w:ascii="宋体" w:hAnsi="宋体" w:eastAsia="宋体" w:cs="宋体"/>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供应商登录常州市政府采购网“下载中心”-“苏采云”系统（供应商）操作手册下载相关操作手册、操作视频等，查阅后进行自助注册。</w:t>
      </w:r>
      <w:r>
        <w:rPr>
          <w:rFonts w:hint="eastAsia" w:ascii="宋体" w:hAnsi="宋体" w:eastAsia="宋体" w:cs="宋体"/>
          <w:color w:val="000000"/>
          <w:sz w:val="24"/>
          <w:highlight w:val="none"/>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获取电子招标文件</w:t>
      </w:r>
      <w:r>
        <w:rPr>
          <w:rFonts w:hint="eastAsia" w:ascii="宋体" w:hAnsi="宋体" w:eastAsia="宋体" w:cs="宋体"/>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供应商持CA数字认证证书登录“苏采云”系统获取电子招标文件。未在规定期限内通过“苏采云”系统获取招标文件的</w:t>
      </w:r>
      <w:r>
        <w:rPr>
          <w:rFonts w:hint="eastAsia" w:ascii="宋体" w:hAnsi="宋体" w:eastAsia="宋体" w:cs="宋体"/>
          <w:b/>
          <w:color w:val="000000"/>
          <w:sz w:val="24"/>
          <w:highlight w:val="none"/>
          <w:lang w:bidi="ar"/>
        </w:rPr>
        <w:t xml:space="preserve">投标无效</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2.5编制电子投标文件</w:t>
      </w:r>
      <w:r>
        <w:rPr>
          <w:rFonts w:hint="eastAsia" w:ascii="宋体" w:hAnsi="宋体" w:eastAsia="宋体" w:cs="宋体"/>
          <w:color w:val="000000"/>
          <w:sz w:val="24"/>
          <w:highlight w:val="none"/>
          <w:lang w:bidi="ar"/>
        </w:rPr>
      </w:r>
      <w:r/>
    </w:p>
    <w:p>
      <w:pPr>
        <w:pStyle w:val="84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840"/>
        <w:ind w:firstLine="48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2.6</w:t>
      </w:r>
      <w:r>
        <w:rPr>
          <w:rFonts w:hint="eastAsia" w:ascii="宋体" w:hAnsi="宋体" w:eastAsia="宋体" w:cs="宋体"/>
          <w:color w:val="000000"/>
          <w:sz w:val="24"/>
          <w:highlight w:val="none"/>
          <w:lang w:val="zh-TW" w:bidi="ar"/>
        </w:rPr>
        <w:t xml:space="preserve">提交电子投标文件</w:t>
      </w:r>
      <w:r>
        <w:rPr>
          <w:rFonts w:hint="eastAsia" w:ascii="宋体" w:hAnsi="宋体" w:eastAsia="宋体" w:cs="宋体"/>
          <w:color w:val="000000"/>
          <w:sz w:val="24"/>
          <w:highlight w:val="none"/>
          <w:lang w:val="zh-TW" w:bidi="ar"/>
        </w:rPr>
      </w:r>
      <w:r/>
    </w:p>
    <w:p>
      <w:pPr>
        <w:pStyle w:val="840"/>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供应商应于投标截止时间前在“苏采云”</w:t>
      </w:r>
      <w:r>
        <w:rPr>
          <w:rFonts w:hint="eastAsia" w:ascii="宋体" w:hAnsi="宋体" w:eastAsia="宋体" w:cs="宋体"/>
          <w:color w:val="000000"/>
          <w:sz w:val="24"/>
          <w:highlight w:val="none"/>
          <w:lang w:eastAsia="zh-CN" w:bidi="ar"/>
        </w:rPr>
        <w:t xml:space="preserve">系统</w:t>
      </w:r>
      <w:r>
        <w:rPr>
          <w:rFonts w:hint="eastAsia" w:ascii="宋体" w:hAnsi="宋体" w:eastAsia="宋体" w:cs="宋体"/>
          <w:color w:val="000000"/>
          <w:sz w:val="24"/>
          <w:highlight w:val="none"/>
          <w:lang w:bidi="ar"/>
        </w:rPr>
        <w:t xml:space="preserve">提交电子投标文件，上传电子投标文件过程中请保持与互联网的连接畅通。</w:t>
      </w:r>
      <w:r>
        <w:rPr>
          <w:rFonts w:hint="eastAsia" w:ascii="宋体" w:hAnsi="宋体" w:eastAsia="宋体" w:cs="宋体"/>
          <w:color w:val="000000"/>
          <w:sz w:val="24"/>
          <w:highlight w:val="none"/>
          <w:lang w:bidi="ar"/>
        </w:rPr>
      </w:r>
      <w:r/>
    </w:p>
    <w:p>
      <w:pPr>
        <w:pStyle w:val="840"/>
        <w:ind w:firstLine="480"/>
        <w:jc w:val="left"/>
        <w:spacing w:line="360" w:lineRule="auto"/>
        <w:widowControl/>
        <w:rPr>
          <w:rFonts w:hint="eastAsia" w:ascii="宋体" w:hAnsi="宋体" w:eastAsia="宋体" w:cs="宋体"/>
          <w:color w:val="000000"/>
          <w:sz w:val="24"/>
          <w:highlight w:val="none"/>
          <w:lang w:eastAsia="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rPr>
          <w:rFonts w:hint="eastAsia" w:ascii="宋体" w:hAnsi="宋体" w:eastAsia="宋体" w:cs="宋体"/>
          <w:color w:val="000000"/>
          <w:sz w:val="24"/>
          <w:highlight w:val="none"/>
          <w:lang w:eastAsia="zh-TW" w:bidi="ar"/>
        </w:rPr>
      </w:r>
      <w:r/>
    </w:p>
    <w:p>
      <w:pPr>
        <w:pStyle w:val="840"/>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“苏采云”系统进行电子化不见面开标</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bidi="ar"/>
        </w:rPr>
      </w:r>
      <w:r/>
    </w:p>
    <w:p>
      <w:pPr>
        <w:pStyle w:val="840"/>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.8注意事项</w:t>
      </w:r>
      <w:r>
        <w:rPr>
          <w:rFonts w:hint="eastAsia" w:ascii="宋体" w:hAnsi="宋体" w:eastAsia="宋体" w:cs="宋体"/>
          <w:color w:val="000000"/>
          <w:sz w:val="24"/>
          <w:highlight w:val="none"/>
          <w:lang w:val="zh-TW" w:bidi="ar"/>
        </w:rPr>
      </w:r>
      <w:r/>
    </w:p>
    <w:p>
      <w:pPr>
        <w:pStyle w:val="840"/>
        <w:ind w:firstLine="480"/>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4"/>
          <w:highlight w:val="none"/>
          <w:lang w:eastAsia="zh-TW"/>
        </w:rPr>
      </w:r>
      <w:r/>
    </w:p>
    <w:p>
      <w:pPr>
        <w:pStyle w:val="840"/>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840"/>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842"/>
        <w:jc w:val="left"/>
        <w:spacing w:before="0" w:line="360" w:lineRule="auto"/>
        <w:rPr>
          <w:rFonts w:hint="eastAsia" w:ascii="宋体" w:hAnsi="宋体" w:eastAsia="宋体" w:cs="宋体"/>
          <w:color w:val="000000"/>
          <w:sz w:val="24"/>
          <w:szCs w:val="24"/>
          <w:highlight w:val="none"/>
        </w:rPr>
      </w:pPr>
      <w:r/>
      <w:bookmarkStart w:id="30" w:name="_Toc28359008"/>
      <w:r/>
      <w:bookmarkStart w:id="31" w:name="_Toc28359085"/>
      <w:r/>
      <w:bookmarkStart w:id="32" w:name="_Toc35393796"/>
      <w:r/>
      <w:bookmarkStart w:id="33" w:name="_Toc35393627"/>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Pr>
          <w:rFonts w:hint="eastAsia" w:ascii="宋体" w:hAnsi="宋体" w:eastAsia="宋体" w:cs="宋体"/>
          <w:color w:val="000000"/>
          <w:sz w:val="24"/>
          <w:szCs w:val="24"/>
          <w:highlight w:val="none"/>
        </w:rPr>
      </w:r>
      <w:r/>
    </w:p>
    <w:p>
      <w:pPr>
        <w:pStyle w:val="840"/>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840"/>
        <w:ind w:left="1079" w:hanging="300"/>
        <w:jc w:val="left"/>
        <w:spacing w:line="360" w:lineRule="auto"/>
        <w:rPr>
          <w:rFonts w:hint="eastAsia" w:ascii="宋体" w:hAnsi="宋体" w:eastAsia="宋体" w:cs="宋体"/>
          <w:color w:val="000000"/>
          <w:sz w:val="24"/>
          <w:highlight w:val="none"/>
          <w:lang w:eastAsia="zh-CN"/>
        </w:rPr>
      </w:pPr>
      <w:r/>
      <w:bookmarkStart w:id="34" w:name="_Toc28359009"/>
      <w:r/>
      <w:bookmarkStart w:id="35" w:name="_Toc28359086"/>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常州市新北区三井街道办事处</w:t>
      </w:r>
      <w:r>
        <w:rPr>
          <w:rFonts w:hint="eastAsia" w:ascii="宋体" w:hAnsi="宋体" w:eastAsia="宋体" w:cs="宋体"/>
          <w:color w:val="000000"/>
          <w:sz w:val="24"/>
          <w:highlight w:val="none"/>
          <w:lang w:eastAsia="zh-CN"/>
        </w:rPr>
      </w:r>
      <w:r/>
    </w:p>
    <w:p>
      <w:pPr>
        <w:pStyle w:val="840"/>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址：常州市新北区通江中路</w:t>
      </w:r>
      <w:r>
        <w:rPr>
          <w:rFonts w:hint="eastAsia" w:ascii="宋体" w:hAnsi="宋体" w:eastAsia="宋体" w:cs="宋体"/>
          <w:color w:val="000000"/>
          <w:sz w:val="24"/>
          <w:highlight w:val="none"/>
          <w:lang w:val="en-US" w:eastAsia="zh-CN"/>
        </w:rPr>
        <w:t xml:space="preserve">305号</w:t>
      </w:r>
      <w:r>
        <w:rPr>
          <w:rFonts w:hint="eastAsia" w:ascii="宋体" w:hAnsi="宋体" w:eastAsia="宋体" w:cs="宋体"/>
          <w:color w:val="000000"/>
          <w:sz w:val="24"/>
          <w:highlight w:val="none"/>
          <w:lang w:val="en-US" w:eastAsia="zh-CN"/>
        </w:rPr>
      </w:r>
      <w:r/>
    </w:p>
    <w:p>
      <w:pPr>
        <w:pStyle w:val="840"/>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周先生</w:t>
      </w:r>
      <w:r>
        <w:rPr>
          <w:rFonts w:hint="eastAsia" w:ascii="宋体" w:hAnsi="宋体" w:eastAsia="宋体" w:cs="宋体"/>
          <w:color w:val="000000"/>
          <w:sz w:val="24"/>
          <w:highlight w:val="none"/>
          <w:lang w:val="en-US" w:eastAsia="zh-CN"/>
        </w:rPr>
      </w:r>
      <w:r/>
    </w:p>
    <w:p>
      <w:pPr>
        <w:pStyle w:val="840"/>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0519-89886031</w:t>
      </w:r>
      <w:r>
        <w:rPr>
          <w:rFonts w:hint="eastAsia" w:ascii="宋体" w:hAnsi="宋体" w:eastAsia="宋体" w:cs="宋体"/>
          <w:color w:val="000000"/>
          <w:sz w:val="24"/>
          <w:highlight w:val="none"/>
          <w:lang w:val="en-US" w:eastAsia="zh-CN"/>
        </w:rPr>
      </w:r>
      <w:r/>
    </w:p>
    <w:p>
      <w:pPr>
        <w:pStyle w:val="840"/>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34"/>
      <w:r/>
      <w:bookmarkEnd w:id="35"/>
      <w:r>
        <w:rPr>
          <w:rFonts w:hint="eastAsia" w:ascii="宋体" w:hAnsi="宋体" w:eastAsia="宋体" w:cs="宋体"/>
          <w:b/>
          <w:color w:val="000000"/>
          <w:sz w:val="24"/>
          <w:highlight w:val="none"/>
        </w:rPr>
      </w:r>
      <w:r/>
    </w:p>
    <w:p>
      <w:pPr>
        <w:pStyle w:val="840"/>
        <w:ind w:left="1079" w:hanging="300"/>
        <w:jc w:val="left"/>
        <w:spacing w:line="360" w:lineRule="auto"/>
        <w:rPr>
          <w:rFonts w:hint="eastAsia" w:ascii="宋体" w:hAnsi="宋体" w:eastAsia="宋体" w:cs="宋体"/>
          <w:color w:val="000000"/>
          <w:sz w:val="24"/>
          <w:highlight w:val="none"/>
        </w:rPr>
      </w:pPr>
      <w:r/>
      <w:bookmarkStart w:id="36" w:name="_Toc28359010"/>
      <w:r/>
      <w:bookmarkStart w:id="37" w:name="_Toc28359087"/>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840"/>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840"/>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840"/>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6"/>
      <w:r/>
      <w:bookmarkEnd w:id="37"/>
      <w:r>
        <w:rPr>
          <w:rFonts w:hint="eastAsia" w:ascii="宋体" w:hAnsi="宋体" w:eastAsia="宋体" w:cs="宋体"/>
          <w:b/>
          <w:color w:val="000000"/>
          <w:sz w:val="24"/>
          <w:highlight w:val="none"/>
          <w:u w:val="single"/>
        </w:rPr>
      </w:r>
      <w:r/>
    </w:p>
    <w:p>
      <w:pPr>
        <w:pStyle w:val="840"/>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周</w:t>
      </w:r>
      <w:r>
        <w:rPr>
          <w:rFonts w:hint="eastAsia" w:ascii="宋体" w:hAnsi="宋体" w:eastAsia="宋体" w:cs="宋体"/>
          <w:color w:val="000000"/>
          <w:sz w:val="24"/>
          <w:highlight w:val="none"/>
        </w:rPr>
        <w:t xml:space="preserve">女士</w:t>
      </w:r>
      <w:r>
        <w:rPr>
          <w:rFonts w:hint="eastAsia" w:ascii="宋体" w:hAnsi="宋体" w:eastAsia="宋体" w:cs="宋体"/>
          <w:color w:val="000000"/>
          <w:sz w:val="24"/>
          <w:highlight w:val="none"/>
        </w:rPr>
      </w:r>
      <w:r/>
    </w:p>
    <w:p>
      <w:pPr>
        <w:pStyle w:val="840"/>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840"/>
        <w:ind w:left="1079" w:hanging="300"/>
        <w:jc w:val="left"/>
        <w:spacing w:line="360" w:lineRule="auto"/>
        <w:rPr>
          <w:rFonts w:ascii="宋体" w:hAnsi="宋体"/>
          <w:color w:val="000000"/>
          <w:sz w:val="24"/>
          <w:highlight w:val="none"/>
        </w:rPr>
      </w:pPr>
      <w:r>
        <w:rPr>
          <w:rFonts w:ascii="宋体" w:hAnsi="宋体"/>
          <w:color w:val="000000"/>
          <w:sz w:val="24"/>
          <w:highlight w:val="none"/>
        </w:rPr>
      </w:r>
      <w:r/>
    </w:p>
    <w:p>
      <w:pPr>
        <w:pStyle w:val="840"/>
        <w:ind w:left="1079" w:hanging="300"/>
        <w:jc w:val="left"/>
        <w:spacing w:line="360" w:lineRule="auto"/>
        <w:rPr>
          <w:rFonts w:ascii="宋体" w:hAnsi="宋体"/>
          <w:color w:val="000000"/>
          <w:sz w:val="24"/>
          <w:highlight w:val="none"/>
        </w:rPr>
      </w:pPr>
      <w:r>
        <w:rPr>
          <w:rFonts w:ascii="宋体" w:hAnsi="宋体"/>
          <w:color w:val="000000"/>
          <w:sz w:val="24"/>
          <w:highlight w:val="none"/>
        </w:rPr>
      </w:r>
      <w:r/>
    </w:p>
    <w:p>
      <w:pPr>
        <w:pStyle w:val="840"/>
        <w:ind w:left="1079" w:hanging="30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84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8" w:name="_Toc264969275"/>
      <w:r/>
      <w:bookmarkStart w:id="39" w:name="_Toc127151777"/>
      <w:r/>
      <w:bookmarkStart w:id="40" w:name="_Toc353825548"/>
      <w:r/>
      <w:bookmarkStart w:id="41" w:name="_Toc127161488"/>
      <w:r/>
      <w:bookmarkStart w:id="42" w:name="_Toc195842950"/>
      <w:r/>
      <w:bookmarkStart w:id="43" w:name="_Toc226965856"/>
      <w:r/>
      <w:bookmarkStart w:id="44" w:name="_Toc305158854"/>
      <w:r/>
      <w:bookmarkStart w:id="45" w:name="_Toc150774783"/>
      <w:r/>
      <w:bookmarkStart w:id="46" w:name="_Toc265228423"/>
      <w:r/>
      <w:bookmarkStart w:id="47" w:name="_Toc305158928"/>
      <w:r/>
      <w:bookmarkStart w:id="48" w:name="_Toc19853"/>
      <w:r/>
      <w:bookmarkStart w:id="49" w:name="_Toc512937850"/>
      <w:r/>
      <w:bookmarkStart w:id="50" w:name="_Toc353873938"/>
      <w:r>
        <w:rPr>
          <w:rFonts w:ascii="宋体" w:hAnsi="宋体"/>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b/>
          <w:color w:val="000000"/>
          <w:sz w:val="32"/>
          <w:szCs w:val="32"/>
          <w:highlight w:val="none"/>
        </w:rPr>
      </w:r>
      <w:r/>
    </w:p>
    <w:p>
      <w:pPr>
        <w:pStyle w:val="842"/>
        <w:spacing w:before="0" w:line="360" w:lineRule="auto"/>
        <w:tabs>
          <w:tab w:val="center" w:pos="4592" w:leader="none"/>
          <w:tab w:val="left" w:pos="7860" w:leader="none"/>
        </w:tabs>
        <w:rPr>
          <w:rFonts w:ascii="宋体" w:hAnsi="宋体" w:eastAsia="宋体"/>
          <w:color w:val="000000"/>
          <w:sz w:val="28"/>
          <w:highlight w:val="none"/>
        </w:rPr>
      </w:pPr>
      <w:r/>
      <w:bookmarkStart w:id="51" w:name="_Toc150509270"/>
      <w:r/>
      <w:bookmarkStart w:id="52" w:name="_Toc226309763"/>
      <w:r/>
      <w:bookmarkStart w:id="53" w:name="_Toc150774619"/>
      <w:r/>
      <w:bookmarkStart w:id="54" w:name="_Toc151193907"/>
      <w:r/>
      <w:bookmarkStart w:id="55" w:name="_Toc151193617"/>
      <w:r/>
      <w:bookmarkStart w:id="56" w:name="_Toc226965792"/>
      <w:r/>
      <w:bookmarkStart w:id="57" w:name="_Toc142311021"/>
      <w:r/>
      <w:bookmarkStart w:id="58" w:name="_Toc164608788"/>
      <w:r/>
      <w:bookmarkStart w:id="59" w:name="_Toc226965709"/>
      <w:r/>
      <w:bookmarkStart w:id="60" w:name="_Toc226337215"/>
      <w:r/>
      <w:bookmarkStart w:id="61" w:name="_Toc127151720"/>
      <w:r/>
      <w:bookmarkStart w:id="62" w:name="_Toc164351613"/>
      <w:r/>
      <w:bookmarkStart w:id="63" w:name="_Toc164608633"/>
      <w:r/>
      <w:bookmarkStart w:id="64" w:name="_Toc127151519"/>
      <w:r/>
      <w:bookmarkStart w:id="65" w:name="_Toc520356144"/>
      <w:r/>
      <w:bookmarkStart w:id="66" w:name="_Toc150774724"/>
      <w:r/>
      <w:bookmarkStart w:id="67" w:name="_Toc151190146"/>
      <w:r/>
      <w:bookmarkStart w:id="68" w:name="_Toc151193833"/>
      <w:r/>
      <w:bookmarkStart w:id="69" w:name="_Toc164229360"/>
      <w:r/>
      <w:bookmarkStart w:id="70" w:name="_Toc151193689"/>
      <w:r/>
      <w:bookmarkStart w:id="71" w:name="_Toc164229214"/>
      <w:r/>
      <w:bookmarkStart w:id="72" w:name="_Toc150480757"/>
      <w:r/>
      <w:bookmarkStart w:id="73" w:name="_Toc195842884"/>
      <w:r/>
      <w:bookmarkStart w:id="74" w:name="_Toc149720812"/>
      <w:r/>
      <w:bookmarkStart w:id="75" w:name="_Toc151193761"/>
      <w:r/>
      <w:bookmarkStart w:id="76" w:name="_Toc1271614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40"/>
        <w:jc w:val="center"/>
        <w:rPr>
          <w:rFonts w:ascii="宋体" w:hAnsi="宋体"/>
          <w:b/>
          <w:color w:val="000000"/>
          <w:sz w:val="28"/>
          <w:szCs w:val="28"/>
          <w:highlight w:val="none"/>
        </w:rPr>
      </w:pPr>
      <w:r>
        <w:rPr>
          <w:rFonts w:ascii="宋体" w:hAnsi="宋体"/>
          <w:b/>
          <w:color w:val="000000"/>
          <w:sz w:val="28"/>
          <w:szCs w:val="28"/>
          <w:highlight w:val="none"/>
        </w:rPr>
      </w:r>
      <w:r/>
    </w:p>
    <w:p>
      <w:pPr>
        <w:pStyle w:val="8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840"/>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40"/>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840"/>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840"/>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84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840"/>
              <w:jc w:val="left"/>
              <w:rPr>
                <w:rFonts w:ascii="宋体" w:hAnsi="宋体"/>
                <w:color w:val="000000"/>
                <w:sz w:val="24"/>
                <w:highlight w:val="none"/>
                <w:u w:val="single"/>
              </w:rPr>
            </w:pP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879"/>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879"/>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840"/>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840"/>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79"/>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□召开，召开时间：__年_月_日_</w:t>
            </w:r>
            <w:r>
              <w:rPr>
                <w:rFonts w:ascii="宋体" w:hAnsi="宋体"/>
                <w:bCs/>
                <w:color w:val="000000"/>
                <w:sz w:val="24"/>
                <w:highlight w:val="none"/>
              </w:rPr>
              <w:t xml:space="preserve">点</w:t>
            </w:r>
            <w:r>
              <w:rPr>
                <w:rFonts w:ascii="宋体" w:hAnsi="宋体"/>
                <w:color w:val="000000"/>
                <w:sz w:val="24"/>
                <w:highlight w:val="none"/>
              </w:rPr>
              <w:t xml:space="preserve">_</w:t>
            </w:r>
            <w:r>
              <w:rPr>
                <w:rFonts w:ascii="宋体" w:hAnsi="宋体"/>
                <w:bCs/>
                <w:color w:val="000000"/>
                <w:sz w:val="24"/>
                <w:highlight w:val="none"/>
              </w:rPr>
              <w:t xml:space="preserve">分</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84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840"/>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840"/>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840"/>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840"/>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840"/>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840"/>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其他未列明行业</w:t>
            </w:r>
            <w:r>
              <w:rPr>
                <w:rFonts w:ascii="宋体" w:hAnsi="宋体"/>
                <w:color w:val="000000"/>
                <w:sz w:val="24"/>
                <w:highlight w:val="none"/>
              </w:rPr>
            </w:r>
            <w:r/>
          </w:p>
        </w:tc>
      </w:tr>
    </w:tbl>
    <w:p>
      <w:pPr>
        <w:pStyle w:val="840"/>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840"/>
              <w:jc w:val="left"/>
              <w:rPr>
                <w:rFonts w:hint="eastAsia" w:ascii="宋体" w:hAnsi="宋体" w:eastAsia="宋体"/>
                <w:color w:val="000000"/>
                <w:sz w:val="24"/>
                <w:highlight w:val="none"/>
                <w:lang w:eastAsia="zh-CN"/>
              </w:rPr>
            </w:pPr>
            <w:r>
              <w:rPr>
                <w:rFonts w:ascii="宋体" w:hAnsi="宋体"/>
                <w:color w:val="000000"/>
                <w:sz w:val="24"/>
                <w:highlight w:val="none"/>
              </w:rPr>
              <w:t xml:space="preserve">□有，具体情形：_____</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84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840"/>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879"/>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840"/>
              <w:jc w:val="left"/>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收费对象：</w:t>
            </w:r>
            <w:r>
              <w:rPr>
                <w:rFonts w:ascii="宋体" w:hAnsi="宋体"/>
                <w:color w:val="000000"/>
                <w:sz w:val="24"/>
                <w:highlight w:val="none"/>
              </w:rPr>
            </w:r>
            <w:r/>
          </w:p>
          <w:p>
            <w:pPr>
              <w:pStyle w:val="840"/>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84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840"/>
              <w:jc w:val="left"/>
              <w:rPr>
                <w:rFonts w:hint="eastAsia" w:ascii="宋体" w:hAnsi="宋体"/>
                <w:color w:val="000000"/>
                <w:sz w:val="24"/>
                <w:highlight w:val="none"/>
              </w:rPr>
            </w:pPr>
            <w:r>
              <w:rPr>
                <w:rFonts w:hint="eastAsia" w:ascii="宋体" w:hAnsi="宋体"/>
                <w:color w:val="000000"/>
                <w:sz w:val="24"/>
                <w:highlight w:val="none"/>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rPr>
                <w:rFonts w:hint="eastAsia" w:ascii="宋体" w:hAnsi="宋体"/>
                <w:color w:val="000000"/>
                <w:sz w:val="24"/>
                <w:highlight w:val="none"/>
              </w:rPr>
            </w:r>
            <w:r/>
          </w:p>
          <w:p>
            <w:pPr>
              <w:pStyle w:val="840"/>
              <w:jc w:val="left"/>
              <w:rPr>
                <w:rFonts w:ascii="宋体" w:hAnsi="宋体"/>
                <w:color w:val="000000"/>
                <w:sz w:val="24"/>
                <w:highlight w:val="none"/>
                <w:u w:val="singl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代理服务收费标准：本项目代理服务费贰万元整（￥20000.00元）。中标供应商应在领取中标通知书前将代理服务费付至采购代理机构。中标人如果未按规定交纳代理服务费，将保留诉讼权利。</w:t>
            </w:r>
            <w:r>
              <w:rPr>
                <w:rFonts w:ascii="宋体" w:hAnsi="宋体"/>
                <w:color w:val="000000"/>
                <w:sz w:val="24"/>
                <w:highlight w:val="none"/>
                <w:u w:val="single"/>
              </w:rPr>
            </w:r>
            <w:r/>
          </w:p>
          <w:p>
            <w:pPr>
              <w:pStyle w:val="840"/>
              <w:jc w:val="lef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840"/>
              <w:jc w:val="lef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840"/>
              <w:jc w:val="lef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bl>
    <w:p>
      <w:pPr>
        <w:pStyle w:val="840"/>
        <w:jc w:val="both"/>
        <w:spacing w:line="360" w:lineRule="auto"/>
        <w:tabs>
          <w:tab w:val="left" w:pos="5580" w:leader="none"/>
        </w:tabs>
        <w:rPr>
          <w:rFonts w:ascii="宋体" w:hAnsi="宋体"/>
          <w:color w:val="000000"/>
          <w:sz w:val="24"/>
          <w:highlight w:val="none"/>
        </w:rPr>
        <w:sectPr>
          <w:footerReference w:type="default" r:id="rId18"/>
          <w:footerReference w:type="first" r:id="rId19"/>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ascii="宋体" w:hAnsi="宋体"/>
          <w:color w:val="000000"/>
          <w:sz w:val="24"/>
          <w:highlight w:val="none"/>
        </w:rPr>
      </w:r>
      <w:r/>
    </w:p>
    <w:p>
      <w:pPr>
        <w:pStyle w:val="840"/>
        <w:jc w:val="center"/>
        <w:spacing w:before="240" w:after="240"/>
        <w:rPr>
          <w:rFonts w:ascii="宋体" w:hAnsi="宋体"/>
          <w:b/>
          <w:color w:val="000000"/>
          <w:sz w:val="28"/>
          <w:szCs w:val="28"/>
          <w:highlight w:val="none"/>
        </w:rPr>
      </w:pPr>
      <w:r/>
      <w:bookmarkStart w:id="77" w:name="_Toc353873662"/>
      <w:r/>
      <w:bookmarkStart w:id="78" w:name="_Toc127151517"/>
      <w:r/>
      <w:bookmarkStart w:id="79" w:name="_Toc265228355"/>
      <w:r/>
      <w:bookmarkStart w:id="80" w:name="_Toc142311019"/>
      <w:r/>
      <w:bookmarkStart w:id="81" w:name="_Toc305158859"/>
      <w:r/>
      <w:bookmarkStart w:id="82" w:name="_Toc264969207"/>
      <w:r/>
      <w:bookmarkStart w:id="83" w:name="_Toc226337213"/>
      <w:r/>
      <w:bookmarkStart w:id="84" w:name="_Toc353825542"/>
      <w:r/>
      <w:bookmarkStart w:id="85" w:name="_Toc226965790"/>
      <w:r/>
      <w:bookmarkStart w:id="86" w:name="_Toc353873932"/>
      <w:r/>
      <w:bookmarkStart w:id="87" w:name="_Toc150774722"/>
      <w:r/>
      <w:bookmarkStart w:id="88" w:name="_Toc150480755"/>
      <w:r/>
      <w:bookmarkStart w:id="89" w:name="_Toc305158785"/>
      <w:r/>
      <w:bookmarkStart w:id="90" w:name="_Toc195842882"/>
      <w:r/>
      <w:bookmarkStart w:id="91" w:name="_Toc265228392"/>
      <w:r/>
      <w:bookmarkStart w:id="92" w:name="_Toc150480792"/>
      <w:r/>
      <w:bookmarkStart w:id="93" w:name="_Toc264969244"/>
      <w:r/>
      <w:bookmarkStart w:id="94" w:name="_Toc353873664"/>
      <w:r/>
      <w:bookmarkStart w:id="95" w:name="_Toc305158822"/>
      <w:r/>
      <w:bookmarkStart w:id="96" w:name="_Toc226337250"/>
      <w:r/>
      <w:bookmarkStart w:id="97" w:name="_Toc142311056"/>
      <w:r/>
      <w:bookmarkStart w:id="98" w:name="_Toc127151554"/>
      <w:r/>
      <w:bookmarkStart w:id="99" w:name="_Toc353873934"/>
      <w:r/>
      <w:bookmarkStart w:id="100" w:name="_Toc150774759"/>
      <w:r/>
      <w:bookmarkStart w:id="101" w:name="_Toc305158896"/>
      <w:r/>
      <w:bookmarkStart w:id="102" w:name="_Toc226965827"/>
      <w:r/>
      <w:bookmarkStart w:id="103" w:name="_Toc353825544"/>
      <w:r>
        <w:rPr>
          <w:rFonts w:ascii="宋体" w:hAnsi="宋体"/>
          <w:b/>
          <w:color w:val="000000"/>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b/>
          <w:color w:val="000000"/>
          <w:sz w:val="28"/>
          <w:szCs w:val="28"/>
          <w:highlight w:val="none"/>
        </w:rPr>
      </w:r>
      <w:r/>
    </w:p>
    <w:p>
      <w:pPr>
        <w:pStyle w:val="842"/>
        <w:jc w:val="left"/>
        <w:spacing w:before="0" w:line="360" w:lineRule="auto"/>
        <w:tabs>
          <w:tab w:val="center" w:pos="4592" w:leader="none"/>
          <w:tab w:val="left" w:pos="7860" w:leader="none"/>
        </w:tabs>
        <w:rPr>
          <w:rFonts w:ascii="宋体" w:hAnsi="宋体" w:eastAsia="宋体"/>
          <w:color w:val="000000"/>
          <w:sz w:val="28"/>
          <w:highlight w:val="none"/>
        </w:rPr>
      </w:pPr>
      <w:r/>
      <w:bookmarkStart w:id="104" w:name="_Toc520356143"/>
      <w:r/>
      <w:bookmarkStart w:id="105" w:name="_Toc127151518"/>
      <w:r>
        <w:rPr>
          <w:rFonts w:ascii="宋体" w:hAnsi="宋体" w:eastAsia="宋体"/>
          <w:color w:val="000000"/>
          <w:sz w:val="28"/>
          <w:highlight w:val="none"/>
        </w:rPr>
        <w:tab/>
      </w:r>
      <w:bookmarkStart w:id="106" w:name="_Toc151193832"/>
      <w:r/>
      <w:bookmarkStart w:id="107" w:name="_Toc151193688"/>
      <w:r/>
      <w:bookmarkStart w:id="108" w:name="_Toc305158860"/>
      <w:r/>
      <w:bookmarkStart w:id="109" w:name="_Toc151193616"/>
      <w:r/>
      <w:bookmarkStart w:id="110" w:name="_Toc226965708"/>
      <w:r/>
      <w:bookmarkStart w:id="111" w:name="_Toc142311020"/>
      <w:r/>
      <w:bookmarkStart w:id="112" w:name="_Toc305158786"/>
      <w:r/>
      <w:bookmarkStart w:id="113" w:name="_Toc150509269"/>
      <w:r/>
      <w:bookmarkStart w:id="114" w:name="_Toc150774618"/>
      <w:r/>
      <w:bookmarkStart w:id="115" w:name="_Toc151190145"/>
      <w:r/>
      <w:bookmarkStart w:id="116" w:name="_Toc195842883"/>
      <w:r/>
      <w:bookmarkStart w:id="117" w:name="_Toc151193906"/>
      <w:r/>
      <w:bookmarkStart w:id="118" w:name="_Toc226309762"/>
      <w:r/>
      <w:bookmarkStart w:id="119" w:name="_Toc265228356"/>
      <w:r/>
      <w:bookmarkStart w:id="120" w:name="_Toc150774723"/>
      <w:r/>
      <w:bookmarkStart w:id="121" w:name="_Toc226965791"/>
      <w:r/>
      <w:bookmarkStart w:id="122" w:name="_Toc150480756"/>
      <w:r/>
      <w:bookmarkStart w:id="123" w:name="_Toc226337214"/>
      <w:r/>
      <w:bookmarkStart w:id="124" w:name="_Toc151193760"/>
      <w:r/>
      <w:bookmarkStart w:id="125" w:name="_Toc264969208"/>
      <w:r>
        <w:rPr>
          <w:rFonts w:ascii="宋体" w:hAnsi="宋体" w:eastAsia="宋体"/>
          <w:color w:val="000000"/>
          <w:sz w:val="28"/>
          <w:highlight w:val="none"/>
        </w:rPr>
        <w:t xml:space="preserve">一   说  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宋体"/>
          <w:color w:val="000000"/>
          <w:sz w:val="28"/>
          <w:highlight w:val="none"/>
        </w:rPr>
        <w:tab/>
      </w:r>
      <w:r>
        <w:rPr>
          <w:rFonts w:ascii="宋体" w:hAnsi="宋体" w:eastAsia="宋体"/>
          <w:color w:val="000000"/>
          <w:sz w:val="28"/>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126" w:name="_Toc265228357"/>
      <w:r/>
      <w:bookmarkStart w:id="127" w:name="_Toc305158787"/>
      <w:r/>
      <w:bookmarkStart w:id="128" w:name="_Toc264969209"/>
      <w:r/>
      <w:bookmarkStart w:id="129" w:name="_Toc305158861"/>
      <w:r>
        <w:rPr>
          <w:rFonts w:hint="eastAsia" w:ascii="宋体" w:hAnsi="宋体" w:cs="宋体"/>
          <w:b/>
          <w:bCs/>
          <w:color w:val="000000"/>
          <w:sz w:val="24"/>
          <w:highlight w:val="none"/>
        </w:rPr>
        <w:t xml:space="preserve">1 采购人、采购代理机构、投标人</w:t>
      </w:r>
      <w:bookmarkEnd w:id="126"/>
      <w:r/>
      <w:bookmarkEnd w:id="127"/>
      <w:r/>
      <w:bookmarkEnd w:id="128"/>
      <w:r/>
      <w:bookmarkEnd w:id="129"/>
      <w:r>
        <w:rPr>
          <w:rFonts w:hint="eastAsia" w:ascii="宋体" w:hAnsi="宋体" w:cs="宋体"/>
          <w:b/>
          <w:bCs/>
          <w:color w:val="000000"/>
          <w:sz w:val="24"/>
          <w:highlight w:val="none"/>
        </w:rPr>
        <w:t xml:space="preserve">、联合体</w:t>
      </w:r>
      <w:r>
        <w:rPr>
          <w:rFonts w:hint="eastAsia" w:ascii="宋体" w:hAnsi="宋体" w:cs="宋体"/>
          <w:b/>
          <w:bCs/>
          <w:color w:val="000000"/>
          <w:sz w:val="24"/>
          <w:highlight w:val="none"/>
        </w:rPr>
      </w:r>
      <w:r/>
    </w:p>
    <w:p>
      <w:pPr>
        <w:pStyle w:val="840"/>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1.1 采购人、采购代理机构：</w:t>
      </w:r>
      <w:r>
        <w:rPr>
          <w:rFonts w:hint="eastAsia" w:ascii="宋体" w:hAnsi="宋体" w:cs="宋体"/>
          <w:color w:val="000000"/>
          <w:sz w:val="24"/>
          <w:highlight w:val="none"/>
        </w:rPr>
        <w:t xml:space="preserve">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1.2 投标人（也称“供应商”、“申请人”）：</w:t>
      </w:r>
      <w:r>
        <w:rPr>
          <w:rFonts w:hint="eastAsia" w:ascii="宋体" w:hAnsi="宋体" w:cs="宋体"/>
          <w:color w:val="000000"/>
          <w:sz w:val="24"/>
          <w:highlight w:val="none"/>
        </w:rPr>
        <w:t xml:space="preserve">指向采购人提供货物、工程或者服务的法人、其他组织或者自然人。</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1.3 联合体：</w:t>
      </w:r>
      <w:r>
        <w:rPr>
          <w:rFonts w:hint="eastAsia" w:ascii="宋体" w:hAnsi="宋体" w:cs="宋体"/>
          <w:color w:val="000000"/>
          <w:sz w:val="24"/>
          <w:highlight w:val="none"/>
        </w:rPr>
        <w:t xml:space="preserve">指两个以上的自然人、法人或者其他组织组成一个联合体，以一个供应商的身份共同参加政府采购。</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130" w:name="_Toc127161434"/>
      <w:r/>
      <w:bookmarkStart w:id="131" w:name="_Toc226337216"/>
      <w:r/>
      <w:bookmarkStart w:id="132" w:name="_Toc142311022"/>
      <w:r/>
      <w:bookmarkStart w:id="133" w:name="_Toc305158862"/>
      <w:r/>
      <w:bookmarkStart w:id="134" w:name="_Toc127151520"/>
      <w:r/>
      <w:bookmarkStart w:id="135" w:name="_Toc195842885"/>
      <w:r/>
      <w:bookmarkStart w:id="136" w:name="_Toc151193908"/>
      <w:r/>
      <w:bookmarkStart w:id="137" w:name="_Toc150774620"/>
      <w:r/>
      <w:bookmarkStart w:id="138" w:name="_Toc151193762"/>
      <w:r/>
      <w:bookmarkStart w:id="139" w:name="_Toc265228358"/>
      <w:r/>
      <w:bookmarkStart w:id="140" w:name="_Toc164608634"/>
      <w:r/>
      <w:bookmarkStart w:id="141" w:name="_Toc151193618"/>
      <w:r/>
      <w:bookmarkStart w:id="142" w:name="_Toc150480758"/>
      <w:r/>
      <w:bookmarkStart w:id="143" w:name="_Toc151193834"/>
      <w:r/>
      <w:bookmarkStart w:id="144" w:name="_Toc150774725"/>
      <w:r/>
      <w:bookmarkStart w:id="145" w:name="_Toc150509271"/>
      <w:r/>
      <w:bookmarkStart w:id="146" w:name="_Toc164229215"/>
      <w:r/>
      <w:bookmarkStart w:id="147" w:name="_Toc127151721"/>
      <w:r/>
      <w:bookmarkStart w:id="148" w:name="_Toc264969210"/>
      <w:r/>
      <w:bookmarkStart w:id="149" w:name="_Toc164351614"/>
      <w:r/>
      <w:bookmarkStart w:id="150" w:name="_Toc305158788"/>
      <w:r/>
      <w:bookmarkStart w:id="151" w:name="_Toc151193690"/>
      <w:r/>
      <w:bookmarkStart w:id="152" w:name="_Toc164229361"/>
      <w:r/>
      <w:bookmarkStart w:id="153" w:name="_Toc226309764"/>
      <w:r/>
      <w:bookmarkStart w:id="154" w:name="_Toc151190147"/>
      <w:r/>
      <w:bookmarkStart w:id="155" w:name="_Toc226965793"/>
      <w:r/>
      <w:bookmarkStart w:id="156" w:name="_Toc164608789"/>
      <w:r/>
      <w:bookmarkStart w:id="157" w:name="_Toc149720813"/>
      <w:r/>
      <w:bookmarkStart w:id="158" w:name="_Toc226965710"/>
      <w:r>
        <w:rPr>
          <w:rFonts w:hint="eastAsia" w:ascii="宋体" w:hAnsi="宋体" w:cs="宋体"/>
          <w:b/>
          <w:bCs/>
          <w:color w:val="000000"/>
          <w:sz w:val="24"/>
          <w:highlight w:val="none"/>
        </w:rPr>
        <w:t xml:space="preserve">2 资金来源</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宋体"/>
          <w:b/>
          <w:bCs/>
          <w:color w:val="000000"/>
          <w:sz w:val="24"/>
          <w:highlight w:val="none"/>
        </w:rPr>
        <w:t xml:space="preserve">、项目属性、科研仪器设备采购、核心产品</w:t>
      </w:r>
      <w:r>
        <w:rPr>
          <w:rFonts w:hint="eastAsia" w:ascii="宋体" w:hAnsi="宋体" w:cs="宋体"/>
          <w:b/>
          <w:bCs/>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2.1 </w:t>
      </w: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2.2 </w:t>
      </w: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2.3 </w:t>
      </w: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2.4 </w:t>
      </w: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3现场考察、开标前答疑会</w:t>
      </w:r>
      <w:r>
        <w:rPr>
          <w:rFonts w:hint="eastAsia" w:ascii="宋体" w:hAnsi="宋体" w:cs="宋体"/>
          <w:b/>
          <w:bCs/>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3.1 </w:t>
      </w: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9" w:name="_Toc150774727"/>
      <w:r/>
      <w:bookmarkStart w:id="160" w:name="_Toc226309766"/>
      <w:r/>
      <w:bookmarkStart w:id="161" w:name="_Toc226965795"/>
      <w:r/>
      <w:bookmarkStart w:id="162" w:name="_Toc265228360"/>
      <w:r/>
      <w:bookmarkStart w:id="163" w:name="_Toc226337218"/>
      <w:r/>
      <w:bookmarkStart w:id="164" w:name="_Toc151193764"/>
      <w:r/>
      <w:bookmarkStart w:id="165" w:name="_Toc264969212"/>
      <w:r/>
      <w:bookmarkStart w:id="166" w:name="_Toc127151522"/>
      <w:r/>
      <w:bookmarkStart w:id="167" w:name="_Toc195842887"/>
      <w:r/>
      <w:bookmarkStart w:id="168" w:name="_Toc142311024"/>
      <w:r/>
      <w:bookmarkStart w:id="169" w:name="_Toc150774622"/>
      <w:r/>
      <w:bookmarkStart w:id="170" w:name="_Toc151190149"/>
      <w:r/>
      <w:bookmarkStart w:id="171" w:name="_Toc151193836"/>
      <w:r/>
      <w:bookmarkStart w:id="172" w:name="_Toc226965712"/>
      <w:r/>
      <w:bookmarkStart w:id="173" w:name="_Toc150480760"/>
      <w:r/>
      <w:bookmarkStart w:id="174" w:name="_Toc305158790"/>
      <w:r/>
      <w:bookmarkStart w:id="175" w:name="_Toc520356146"/>
      <w:r/>
      <w:bookmarkStart w:id="176" w:name="_Toc305158864"/>
      <w:r/>
      <w:bookmarkStart w:id="177" w:name="_Toc151193910"/>
      <w:r/>
      <w:bookmarkStart w:id="178" w:name="_Toc151193620"/>
      <w:r/>
      <w:bookmarkStart w:id="179" w:name="_Toc150509273"/>
      <w:r/>
      <w:bookmarkStart w:id="180" w:name="_Toc151193692"/>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3.2 </w:t>
      </w: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4样品</w:t>
      </w:r>
      <w:r>
        <w:rPr>
          <w:rFonts w:hint="eastAsia" w:ascii="宋体" w:hAnsi="宋体" w:cs="宋体"/>
          <w:b/>
          <w:bCs/>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4.1 </w:t>
      </w: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4.2 </w:t>
      </w: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 政府采购政策（包括但不限于下列具体政策要求）</w:t>
      </w:r>
      <w:r>
        <w:rPr>
          <w:rFonts w:hint="eastAsia" w:ascii="宋体" w:hAnsi="宋体" w:cs="宋体"/>
          <w:b/>
          <w:bCs/>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5.1 进口产品</w:t>
      </w:r>
      <w:r>
        <w:rPr>
          <w:rFonts w:hint="eastAsia" w:ascii="宋体" w:hAnsi="宋体" w:cs="宋体"/>
          <w:b/>
          <w:bCs/>
          <w:color w:val="000000"/>
          <w:sz w:val="24"/>
          <w:highlight w:val="none"/>
        </w:rPr>
      </w:r>
      <w:r/>
    </w:p>
    <w:p>
      <w:pPr>
        <w:pStyle w:val="840"/>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5.2 中小企业、监狱企业及残疾人福利性单位</w:t>
      </w:r>
      <w:r>
        <w:rPr>
          <w:rFonts w:hint="eastAsia" w:ascii="宋体" w:hAnsi="宋体" w:cs="宋体"/>
          <w:b/>
          <w:bCs/>
          <w:color w:val="000000"/>
          <w:sz w:val="24"/>
          <w:highlight w:val="none"/>
        </w:rPr>
      </w:r>
      <w:r/>
    </w:p>
    <w:p>
      <w:pPr>
        <w:pStyle w:val="840"/>
        <w:numPr>
          <w:ilvl w:val="2"/>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5.2.1中小企业定义：</w:t>
      </w:r>
      <w:r>
        <w:rPr>
          <w:rFonts w:hint="eastAsia" w:ascii="宋体" w:hAnsi="宋体" w:cs="宋体"/>
          <w:b/>
          <w:bCs/>
          <w:color w:val="000000"/>
          <w:sz w:val="24"/>
          <w:highlight w:val="none"/>
        </w:rPr>
      </w:r>
      <w:r/>
    </w:p>
    <w:p>
      <w:pPr>
        <w:pStyle w:val="937"/>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1</w:t>
      </w:r>
      <w:r>
        <w:rPr>
          <w:rFonts w:hint="eastAsia" w:ascii="宋体" w:hAnsi="宋体" w:cs="宋体"/>
          <w:vanish/>
          <w:color w:val="000000"/>
          <w:sz w:val="24"/>
          <w:szCs w:val="24"/>
          <w:highlight w:val="none"/>
        </w:rPr>
      </w:r>
      <w:r/>
    </w:p>
    <w:p>
      <w:pPr>
        <w:pStyle w:val="937"/>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2</w:t>
      </w:r>
      <w:r>
        <w:rPr>
          <w:rFonts w:hint="eastAsia" w:ascii="宋体" w:hAnsi="宋体" w:cs="宋体"/>
          <w:vanish/>
          <w:color w:val="000000"/>
          <w:sz w:val="24"/>
          <w:szCs w:val="24"/>
          <w:highlight w:val="none"/>
        </w:rPr>
      </w:r>
      <w:r/>
    </w:p>
    <w:p>
      <w:pPr>
        <w:pStyle w:val="937"/>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3</w:t>
      </w:r>
      <w:r>
        <w:rPr>
          <w:rFonts w:hint="eastAsia" w:ascii="宋体" w:hAnsi="宋体" w:cs="宋体"/>
          <w:vanish/>
          <w:color w:val="000000"/>
          <w:sz w:val="24"/>
          <w:szCs w:val="24"/>
          <w:highlight w:val="none"/>
        </w:rPr>
      </w:r>
      <w:r/>
    </w:p>
    <w:p>
      <w:pPr>
        <w:pStyle w:val="937"/>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4</w:t>
      </w:r>
      <w:r>
        <w:rPr>
          <w:rFonts w:hint="eastAsia" w:ascii="宋体" w:hAnsi="宋体" w:cs="宋体"/>
          <w:vanish/>
          <w:color w:val="000000"/>
          <w:sz w:val="24"/>
          <w:szCs w:val="24"/>
          <w:highlight w:val="none"/>
        </w:rPr>
      </w:r>
      <w:r/>
    </w:p>
    <w:p>
      <w:pPr>
        <w:pStyle w:val="937"/>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w:t>
      </w:r>
      <w:r>
        <w:rPr>
          <w:rFonts w:hint="eastAsia" w:ascii="宋体" w:hAnsi="宋体" w:cs="宋体"/>
          <w:vanish/>
          <w:color w:val="000000"/>
          <w:sz w:val="24"/>
          <w:szCs w:val="24"/>
          <w:highlight w:val="none"/>
        </w:rPr>
      </w:r>
      <w:r/>
    </w:p>
    <w:p>
      <w:pPr>
        <w:pStyle w:val="937"/>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5.1</w:t>
      </w:r>
      <w:r>
        <w:rPr>
          <w:rFonts w:hint="eastAsia" w:ascii="宋体" w:hAnsi="宋体" w:cs="宋体"/>
          <w:vanish/>
          <w:color w:val="000000"/>
          <w:sz w:val="24"/>
          <w:szCs w:val="24"/>
          <w:highlight w:val="none"/>
        </w:rPr>
      </w:r>
      <w:r/>
    </w:p>
    <w:p>
      <w:pPr>
        <w:pStyle w:val="937"/>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w:t>
      </w:r>
      <w:r>
        <w:rPr>
          <w:rFonts w:hint="eastAsia" w:ascii="宋体" w:hAnsi="宋体" w:cs="宋体"/>
          <w:vanish/>
          <w:color w:val="000000"/>
          <w:sz w:val="24"/>
          <w:szCs w:val="24"/>
          <w:highlight w:val="none"/>
        </w:rPr>
      </w:r>
      <w:r/>
    </w:p>
    <w:p>
      <w:pPr>
        <w:pStyle w:val="937"/>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5.2.1</w:t>
      </w:r>
      <w:r>
        <w:rPr>
          <w:rFonts w:hint="eastAsia" w:ascii="宋体" w:hAnsi="宋体" w:cs="宋体"/>
          <w:vanish/>
          <w:color w:val="000000"/>
          <w:sz w:val="24"/>
          <w:szCs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5.2.1.2供应商提供的货物、工程或者服务符合下列情形的，享受中小企业扶持政策：</w:t>
      </w:r>
      <w:r>
        <w:rPr>
          <w:rFonts w:hint="eastAsia" w:ascii="宋体" w:hAnsi="宋体" w:cs="宋体"/>
          <w:color w:val="000000"/>
          <w:sz w:val="24"/>
          <w:highlight w:val="none"/>
        </w:rPr>
      </w:r>
      <w:r/>
    </w:p>
    <w:p>
      <w:pPr>
        <w:pStyle w:val="840"/>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40"/>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40"/>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5.2.1.3在货物采购项目中，供应商提供的货物既有中小企业制造货物，也有大型企业制造货物的，不享受中小企业扶持政策。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40"/>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5.2.2监狱企业定义：</w:t>
      </w:r>
      <w:r>
        <w:rPr>
          <w:rFonts w:hint="eastAsia" w:ascii="宋体" w:hAnsi="宋体" w:cs="宋体"/>
          <w:color w:val="000000"/>
          <w:sz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40"/>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5.2.3残疾人福利单位定义：</w:t>
      </w:r>
      <w:r>
        <w:rPr>
          <w:rFonts w:hint="eastAsia" w:ascii="宋体" w:hAnsi="宋体" w:cs="宋体"/>
          <w:color w:val="000000"/>
          <w:sz w:val="24"/>
          <w:highlight w:val="none"/>
        </w:rPr>
        <w:t xml:space="preserve">享受政府采购支持政策的残疾人福利性单位应当同时满足以下条件：</w:t>
      </w:r>
      <w:r>
        <w:rPr>
          <w:rFonts w:hint="eastAsia" w:ascii="宋体" w:hAnsi="宋体" w:cs="宋体"/>
          <w:color w:val="000000"/>
          <w:sz w:val="24"/>
          <w:highlight w:val="none"/>
        </w:rPr>
      </w:r>
      <w:r/>
    </w:p>
    <w:p>
      <w:pPr>
        <w:pStyle w:val="937"/>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5.2.2</w:t>
      </w:r>
      <w:r>
        <w:rPr>
          <w:rFonts w:hint="eastAsia" w:ascii="宋体" w:hAnsi="宋体" w:cs="宋体"/>
          <w:vanish/>
          <w:color w:val="000000"/>
          <w:sz w:val="24"/>
          <w:szCs w:val="24"/>
          <w:highlight w:val="none"/>
        </w:rPr>
      </w:r>
      <w:r/>
    </w:p>
    <w:p>
      <w:pPr>
        <w:pStyle w:val="937"/>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5.2.3</w:t>
      </w:r>
      <w:r>
        <w:rPr>
          <w:rFonts w:hint="eastAsia" w:ascii="宋体" w:hAnsi="宋体" w:cs="宋体"/>
          <w:vanish/>
          <w:color w:val="000000"/>
          <w:sz w:val="24"/>
          <w:szCs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5.2.3.2依法与安置的每位残疾人签订了一年以上（含一年）的劳动合同或服务协议；</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40"/>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40"/>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5.2.4</w:t>
      </w: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40"/>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5.2.5</w:t>
      </w: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40"/>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5.2.6</w:t>
      </w: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5.3政府采购节能产品、环境标志产品</w:t>
      </w:r>
      <w:r>
        <w:rPr>
          <w:rFonts w:hint="eastAsia" w:ascii="宋体" w:hAnsi="宋体" w:cs="宋体"/>
          <w:b/>
          <w:bCs/>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40"/>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5.4支持乡村产业振兴管理</w:t>
      </w:r>
      <w:r>
        <w:rPr>
          <w:rFonts w:hint="eastAsia" w:ascii="宋体" w:hAnsi="宋体" w:cs="宋体"/>
          <w:b/>
          <w:bCs/>
          <w:color w:val="000000"/>
          <w:sz w:val="24"/>
          <w:highlight w:val="none"/>
        </w:rPr>
      </w:r>
      <w:r/>
    </w:p>
    <w:p>
      <w:pPr>
        <w:pStyle w:val="840"/>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5.5正版软件</w:t>
      </w:r>
      <w:r>
        <w:rPr>
          <w:rFonts w:hint="eastAsia" w:ascii="宋体" w:hAnsi="宋体" w:cs="宋体"/>
          <w:b/>
          <w:bCs/>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40"/>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5.6政府采购创新产品政策</w:t>
      </w:r>
      <w:r>
        <w:rPr>
          <w:rFonts w:hint="eastAsia" w:ascii="宋体" w:hAnsi="宋体" w:cs="宋体"/>
          <w:b/>
          <w:bCs/>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4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5.7 绿色采购政策</w:t>
      </w:r>
      <w:r>
        <w:rPr>
          <w:rFonts w:hint="eastAsia" w:ascii="宋体" w:hAnsi="宋体" w:cs="宋体"/>
          <w:b/>
          <w:bCs/>
          <w:color w:val="000000"/>
          <w:sz w:val="24"/>
          <w:highlight w:val="none"/>
        </w:rPr>
      </w:r>
      <w:r/>
    </w:p>
    <w:p>
      <w:pPr>
        <w:pStyle w:val="8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5.7.1 </w:t>
      </w:r>
      <w:r>
        <w:rPr>
          <w:rFonts w:hint="eastAsia" w:ascii="宋体" w:hAnsi="宋体" w:cs="宋体"/>
          <w:bCs/>
          <w:color w:val="000000"/>
          <w:sz w:val="24"/>
          <w:highlight w:val="none"/>
        </w:rPr>
        <w:t xml:space="preserve">绿色数据中心政策 </w:t>
      </w: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8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5.7.2 推广应用绿色建材 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8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5.7.3 优先使用低挥发性有机化合物产品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5.8 采购本国产品的支持政策</w:t>
      </w:r>
      <w:r>
        <w:rPr>
          <w:rFonts w:hint="eastAsia" w:ascii="宋体" w:hAnsi="宋体" w:cs="宋体"/>
          <w:b/>
          <w:bCs/>
          <w:color w:val="000000"/>
          <w:sz w:val="24"/>
          <w:highlight w:val="none"/>
        </w:rPr>
      </w:r>
      <w:r/>
    </w:p>
    <w:p>
      <w:pPr>
        <w:pStyle w:val="840"/>
        <w:ind w:firstLine="480"/>
        <w:spacing w:line="360" w:lineRule="auto"/>
        <w:tabs>
          <w:tab w:val="left" w:pos="360" w:leader="none"/>
        </w:tabs>
        <w:rPr>
          <w:rFonts w:ascii="宋体" w:hAnsi="宋体" w:cs="宋体"/>
          <w:b/>
          <w:bCs/>
          <w:color w:val="000000"/>
          <w:sz w:val="24"/>
          <w:highlight w:val="none"/>
        </w:rPr>
      </w:pPr>
      <w:r>
        <w:rPr>
          <w:rFonts w:hint="eastAsia" w:ascii="宋体" w:hAnsi="宋体" w:cs="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ascii="宋体" w:hAnsi="宋体" w:cs="宋体"/>
          <w:b/>
          <w:bCs/>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6 投标费用</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 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40"/>
        <w:ind w:left="1080"/>
        <w:spacing w:line="360" w:lineRule="auto"/>
        <w:tabs>
          <w:tab w:val="left" w:pos="1080" w:leader="none"/>
        </w:tabs>
        <w:rPr>
          <w:rFonts w:hint="eastAsia" w:ascii="宋体" w:hAnsi="宋体" w:cs="宋体"/>
          <w:color w:val="000000"/>
          <w:sz w:val="24"/>
          <w:highlight w:val="none"/>
        </w:rPr>
      </w:pPr>
      <w:r/>
      <w:bookmarkStart w:id="181" w:name="_1.8_计量单位"/>
      <w:r/>
      <w:bookmarkEnd w:id="181"/>
      <w:r>
        <w:rPr>
          <w:rFonts w:hint="eastAsia" w:ascii="宋体" w:hAnsi="宋体" w:cs="宋体"/>
          <w:color w:val="000000"/>
          <w:sz w:val="24"/>
          <w:highlight w:val="none"/>
        </w:rPr>
      </w:r>
      <w:r/>
    </w:p>
    <w:p>
      <w:pPr>
        <w:pStyle w:val="842"/>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招标文件</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cs="宋体"/>
          <w:color w:val="000000"/>
          <w:sz w:val="24"/>
          <w:szCs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182" w:name="_Toc150774728"/>
      <w:r/>
      <w:bookmarkStart w:id="183" w:name="_Toc127161437"/>
      <w:r/>
      <w:bookmarkStart w:id="184" w:name="_Toc195842888"/>
      <w:r/>
      <w:bookmarkStart w:id="185" w:name="_Toc164608792"/>
      <w:r/>
      <w:bookmarkStart w:id="186" w:name="_Toc305158791"/>
      <w:r/>
      <w:bookmarkStart w:id="187" w:name="_Toc150480761"/>
      <w:r/>
      <w:bookmarkStart w:id="188" w:name="_Toc226337219"/>
      <w:r/>
      <w:bookmarkStart w:id="189" w:name="_Toc520356147"/>
      <w:r/>
      <w:bookmarkStart w:id="190" w:name="_Toc226309767"/>
      <w:r/>
      <w:bookmarkStart w:id="191" w:name="_Toc150774623"/>
      <w:r/>
      <w:bookmarkStart w:id="192" w:name="_Toc151193621"/>
      <w:r/>
      <w:bookmarkStart w:id="193" w:name="_Toc264969213"/>
      <w:r/>
      <w:bookmarkStart w:id="194" w:name="_Toc226965713"/>
      <w:r/>
      <w:bookmarkStart w:id="195" w:name="_Toc127151724"/>
      <w:r/>
      <w:bookmarkStart w:id="196" w:name="_Toc151193837"/>
      <w:r/>
      <w:bookmarkStart w:id="197" w:name="_Toc142311025"/>
      <w:r/>
      <w:bookmarkStart w:id="198" w:name="_Toc149720816"/>
      <w:r/>
      <w:bookmarkStart w:id="199" w:name="_Toc164351617"/>
      <w:r/>
      <w:bookmarkStart w:id="200" w:name="_Toc164608637"/>
      <w:r/>
      <w:bookmarkStart w:id="201" w:name="_Toc151190150"/>
      <w:r/>
      <w:bookmarkStart w:id="202" w:name="_Toc127151523"/>
      <w:r/>
      <w:bookmarkStart w:id="203" w:name="_Toc226965796"/>
      <w:r/>
      <w:bookmarkStart w:id="204" w:name="_Toc151193911"/>
      <w:r/>
      <w:bookmarkStart w:id="205" w:name="_Toc151193765"/>
      <w:r/>
      <w:bookmarkStart w:id="206" w:name="_Toc265228361"/>
      <w:r/>
      <w:bookmarkStart w:id="207" w:name="_Toc164229364"/>
      <w:r/>
      <w:bookmarkStart w:id="208" w:name="_Toc151193693"/>
      <w:r/>
      <w:bookmarkStart w:id="209" w:name="_Toc150509274"/>
      <w:r/>
      <w:bookmarkStart w:id="210" w:name="_Toc164229218"/>
      <w:r/>
      <w:bookmarkStart w:id="211" w:name="_Toc305158865"/>
      <w:r>
        <w:rPr>
          <w:rFonts w:hint="eastAsia" w:ascii="宋体" w:hAnsi="宋体" w:cs="宋体"/>
          <w:b/>
          <w:bCs/>
          <w:color w:val="000000"/>
          <w:sz w:val="24"/>
          <w:highlight w:val="none"/>
        </w:rPr>
        <w:t xml:space="preserve">7 招标文件构</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cs="宋体"/>
          <w:b/>
          <w:bCs/>
          <w:color w:val="000000"/>
          <w:sz w:val="24"/>
          <w:highlight w:val="none"/>
        </w:rPr>
        <w:t xml:space="preserve">成</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7.1 招标文件包括以下部分：</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 资格审查</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 评标程序、评标方法和评标标准</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hint="eastAsia" w:ascii="宋体" w:hAnsi="宋体" w:cs="宋体"/>
          <w:color w:val="000000"/>
          <w:sz w:val="24"/>
          <w:highlight w:val="none"/>
        </w:rPr>
      </w:r>
      <w:r/>
    </w:p>
    <w:p>
      <w:pPr>
        <w:pStyle w:val="840"/>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第七章 投标文件格式</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对招标文件的澄清或修改</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8.1 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40"/>
        <w:ind w:left="1080"/>
        <w:spacing w:line="360" w:lineRule="auto"/>
        <w:tabs>
          <w:tab w:val="left" w:pos="1080" w:leader="none"/>
          <w:tab w:val="left" w:pos="1561" w:leader="none"/>
        </w:tabs>
        <w:rPr>
          <w:rFonts w:hint="eastAsia" w:ascii="宋体" w:hAnsi="宋体" w:cs="宋体"/>
          <w:color w:val="000000"/>
          <w:sz w:val="24"/>
          <w:highlight w:val="none"/>
        </w:rPr>
      </w:pPr>
      <w:r/>
      <w:bookmarkStart w:id="212" w:name="_Toc226337222"/>
      <w:r/>
      <w:bookmarkStart w:id="213" w:name="_Toc195842891"/>
      <w:r/>
      <w:bookmarkStart w:id="214" w:name="_Toc142311028"/>
      <w:r/>
      <w:bookmarkStart w:id="215" w:name="_Toc151193624"/>
      <w:r/>
      <w:bookmarkStart w:id="216" w:name="_Toc151193696"/>
      <w:r/>
      <w:bookmarkStart w:id="217" w:name="_Toc305158794"/>
      <w:r/>
      <w:bookmarkStart w:id="218" w:name="_Toc265228364"/>
      <w:r/>
      <w:bookmarkStart w:id="219" w:name="_Toc516367020"/>
      <w:r/>
      <w:bookmarkStart w:id="220" w:name="_Toc127151526"/>
      <w:r/>
      <w:bookmarkStart w:id="221" w:name="_Toc520356150"/>
      <w:r/>
      <w:bookmarkStart w:id="222" w:name="_Toc150774626"/>
      <w:r/>
      <w:bookmarkStart w:id="223" w:name="_Toc305158868"/>
      <w:r/>
      <w:bookmarkStart w:id="224" w:name="_Toc150509277"/>
      <w:r/>
      <w:bookmarkStart w:id="225" w:name="_Toc264969216"/>
      <w:r/>
      <w:bookmarkStart w:id="226" w:name="_Toc151190153"/>
      <w:r/>
      <w:bookmarkStart w:id="227" w:name="_Toc226309770"/>
      <w:r/>
      <w:bookmarkStart w:id="228" w:name="_Toc150480764"/>
      <w:r/>
      <w:bookmarkStart w:id="229" w:name="_Toc150774731"/>
      <w:r/>
      <w:bookmarkStart w:id="230" w:name="_Toc151193768"/>
      <w:r/>
      <w:bookmarkStart w:id="231" w:name="_Toc151193840"/>
      <w:r/>
      <w:bookmarkStart w:id="232" w:name="_Toc226965716"/>
      <w:r/>
      <w:bookmarkStart w:id="233" w:name="_Toc226965799"/>
      <w:r/>
      <w:bookmarkStart w:id="234" w:name="_Toc151193914"/>
      <w:r>
        <w:rPr>
          <w:rFonts w:hint="eastAsia" w:ascii="宋体" w:hAnsi="宋体" w:cs="宋体"/>
          <w:color w:val="000000"/>
          <w:sz w:val="24"/>
          <w:highlight w:val="none"/>
        </w:rPr>
      </w:r>
      <w:r/>
    </w:p>
    <w:p>
      <w:pPr>
        <w:pStyle w:val="842"/>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投标文件</w:t>
      </w:r>
      <w:bookmarkEnd w:id="219"/>
      <w:r>
        <w:rPr>
          <w:rFonts w:hint="eastAsia" w:ascii="宋体" w:hAnsi="宋体" w:eastAsia="宋体" w:cs="宋体"/>
          <w:color w:val="000000"/>
          <w:sz w:val="24"/>
          <w:szCs w:val="24"/>
          <w:highlight w:val="none"/>
        </w:rPr>
        <w:t xml:space="preserve">的编制</w:t>
      </w:r>
      <w:bookmarkEnd w:id="212"/>
      <w:r/>
      <w:bookmarkEnd w:id="213"/>
      <w:r/>
      <w:bookmarkEnd w:id="214"/>
      <w:r/>
      <w:bookmarkEnd w:id="215"/>
      <w:r/>
      <w:bookmarkEnd w:id="216"/>
      <w:r/>
      <w:bookmarkEnd w:id="217"/>
      <w:r/>
      <w:bookmarkEnd w:id="218"/>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color w:val="000000"/>
          <w:sz w:val="24"/>
          <w:szCs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235" w:name="_Toc127151728"/>
      <w:r/>
      <w:bookmarkStart w:id="236" w:name="_Toc305158869"/>
      <w:r/>
      <w:bookmarkStart w:id="237" w:name="_Toc164608796"/>
      <w:r/>
      <w:bookmarkStart w:id="238" w:name="_Toc164608641"/>
      <w:r/>
      <w:bookmarkStart w:id="239" w:name="_Toc151193841"/>
      <w:r/>
      <w:bookmarkStart w:id="240" w:name="_Toc150509278"/>
      <w:r/>
      <w:bookmarkStart w:id="241" w:name="_Toc226965717"/>
      <w:r/>
      <w:bookmarkStart w:id="242" w:name="_Toc151193915"/>
      <w:r/>
      <w:bookmarkStart w:id="243" w:name="_Toc226965800"/>
      <w:r/>
      <w:bookmarkStart w:id="244" w:name="_Toc150774732"/>
      <w:r/>
      <w:bookmarkStart w:id="245" w:name="_Toc142311029"/>
      <w:r/>
      <w:bookmarkStart w:id="246" w:name="_Toc151193769"/>
      <w:r/>
      <w:bookmarkStart w:id="247" w:name="_Toc164351621"/>
      <w:r/>
      <w:bookmarkStart w:id="248" w:name="_Toc151193697"/>
      <w:r/>
      <w:bookmarkStart w:id="249" w:name="_Toc265228365"/>
      <w:r/>
      <w:bookmarkStart w:id="250" w:name="_Toc127151527"/>
      <w:r/>
      <w:bookmarkStart w:id="251" w:name="_Toc150480765"/>
      <w:r/>
      <w:bookmarkStart w:id="252" w:name="_Toc151190154"/>
      <w:r/>
      <w:bookmarkStart w:id="253" w:name="_Toc127161441"/>
      <w:r/>
      <w:bookmarkStart w:id="254" w:name="_Toc305158795"/>
      <w:r/>
      <w:bookmarkStart w:id="255" w:name="_Toc149720820"/>
      <w:r/>
      <w:bookmarkStart w:id="256" w:name="_Toc264969217"/>
      <w:r/>
      <w:bookmarkStart w:id="257" w:name="_Toc226309771"/>
      <w:r/>
      <w:bookmarkStart w:id="258" w:name="_Toc520356151"/>
      <w:r/>
      <w:bookmarkStart w:id="259" w:name="_Toc516367021"/>
      <w:r/>
      <w:bookmarkStart w:id="260" w:name="_Toc151193625"/>
      <w:r/>
      <w:bookmarkStart w:id="261" w:name="_Toc164229222"/>
      <w:r/>
      <w:bookmarkStart w:id="262" w:name="_Toc164229368"/>
      <w:r/>
      <w:bookmarkStart w:id="263" w:name="_Toc150774627"/>
      <w:r/>
      <w:bookmarkStart w:id="264" w:name="_Toc226337223"/>
      <w:r/>
      <w:bookmarkStart w:id="265" w:name="_Toc195842892"/>
      <w:r>
        <w:rPr>
          <w:rFonts w:hint="eastAsia" w:ascii="宋体" w:hAnsi="宋体" w:cs="宋体"/>
          <w:b/>
          <w:bCs/>
          <w:color w:val="000000"/>
          <w:sz w:val="24"/>
          <w:highlight w:val="none"/>
        </w:rPr>
        <w:t xml:space="preserve">9 投标范围、投标文件中计量单位的使用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cs="宋体"/>
          <w:b/>
          <w:bCs/>
          <w:color w:val="000000"/>
          <w:sz w:val="24"/>
          <w:highlight w:val="none"/>
        </w:rPr>
        <w:t xml:space="preserve">及投标语言</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9.2 除招标文件有特殊要求外，本项目投标所使用的计量单位，应采用中华人民共和国法定计量单位。</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266" w:name="_Toc164608797"/>
      <w:r/>
      <w:bookmarkStart w:id="267" w:name="_Toc164608642"/>
      <w:r/>
      <w:bookmarkStart w:id="268" w:name="_Toc265228366"/>
      <w:r/>
      <w:bookmarkStart w:id="269" w:name="_Toc520356152"/>
      <w:r/>
      <w:bookmarkStart w:id="270" w:name="_Toc164229369"/>
      <w:r/>
      <w:bookmarkStart w:id="271" w:name="_Toc164229223"/>
      <w:r/>
      <w:bookmarkStart w:id="272" w:name="_Toc127151528"/>
      <w:r/>
      <w:bookmarkStart w:id="273" w:name="_Toc151193842"/>
      <w:r/>
      <w:bookmarkStart w:id="274" w:name="_Toc151193698"/>
      <w:r/>
      <w:bookmarkStart w:id="275" w:name="_Toc195842893"/>
      <w:r/>
      <w:bookmarkStart w:id="276" w:name="_Toc150480766"/>
      <w:r/>
      <w:bookmarkStart w:id="277" w:name="_Toc142311030"/>
      <w:r/>
      <w:bookmarkStart w:id="278" w:name="_Toc151193916"/>
      <w:r/>
      <w:bookmarkStart w:id="279" w:name="_Toc150774628"/>
      <w:r/>
      <w:bookmarkStart w:id="280" w:name="_Toc226965801"/>
      <w:r/>
      <w:bookmarkStart w:id="281" w:name="_Toc127161442"/>
      <w:r/>
      <w:bookmarkStart w:id="282" w:name="_Toc226309772"/>
      <w:r/>
      <w:bookmarkStart w:id="283" w:name="_Toc305158796"/>
      <w:r/>
      <w:bookmarkStart w:id="284" w:name="_Toc151193626"/>
      <w:r/>
      <w:bookmarkStart w:id="285" w:name="_Toc149720821"/>
      <w:r/>
      <w:bookmarkStart w:id="286" w:name="_Toc264969218"/>
      <w:r/>
      <w:bookmarkStart w:id="287" w:name="_Toc164351622"/>
      <w:r/>
      <w:bookmarkStart w:id="288" w:name="_Toc151190155"/>
      <w:r/>
      <w:bookmarkStart w:id="289" w:name="_Toc150509279"/>
      <w:r/>
      <w:bookmarkStart w:id="290" w:name="_Toc226337224"/>
      <w:r/>
      <w:bookmarkStart w:id="291" w:name="_Toc305158870"/>
      <w:r/>
      <w:bookmarkStart w:id="292" w:name="_Toc151193770"/>
      <w:r/>
      <w:bookmarkStart w:id="293" w:name="_Ref467306676"/>
      <w:r/>
      <w:bookmarkStart w:id="294" w:name="_Toc516367022"/>
      <w:r/>
      <w:bookmarkStart w:id="295" w:name="_Ref467306195"/>
      <w:r/>
      <w:bookmarkStart w:id="296" w:name="_Toc127151729"/>
      <w:r/>
      <w:bookmarkStart w:id="297" w:name="_Toc226965718"/>
      <w:r/>
      <w:bookmarkStart w:id="298" w:name="_Toc150774733"/>
      <w:r>
        <w:rPr>
          <w:rFonts w:hint="eastAsia" w:ascii="宋体" w:hAnsi="宋体" w:cs="宋体"/>
          <w:b/>
          <w:bCs/>
          <w:color w:val="000000"/>
          <w:sz w:val="24"/>
          <w:highlight w:val="none"/>
        </w:rPr>
        <w:t xml:space="preserve">10投标文件</w:t>
      </w:r>
      <w:bookmarkEnd w:id="293"/>
      <w:r/>
      <w:bookmarkEnd w:id="294"/>
      <w:r/>
      <w:bookmarkEnd w:id="295"/>
      <w:r>
        <w:rPr>
          <w:rFonts w:hint="eastAsia" w:ascii="宋体" w:hAnsi="宋体" w:cs="宋体"/>
          <w:b/>
          <w:bCs/>
          <w:color w:val="000000"/>
          <w:sz w:val="24"/>
          <w:highlight w:val="none"/>
        </w:rPr>
        <w:t xml:space="preserve">构成</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6"/>
      <w:r/>
      <w:bookmarkEnd w:id="297"/>
      <w:r/>
      <w:bookmarkEnd w:id="298"/>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bookmarkStart w:id="299" w:name="_Ref467052588"/>
      <w:r>
        <w:rPr>
          <w:rFonts w:hint="eastAsia" w:ascii="宋体" w:hAnsi="宋体" w:cs="宋体"/>
          <w:color w:val="000000"/>
          <w:sz w:val="24"/>
          <w:highlight w:val="none"/>
        </w:rPr>
        <w:t xml:space="preserve">10.1 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10.2 </w:t>
      </w: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10.3 第四章《评标程序、评标方法和评标标准》中涉及的证明文件。</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10.5 投标人认为应附的其他材料。</w:t>
      </w:r>
      <w:bookmarkEnd w:id="299"/>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300" w:name="_Toc150480768"/>
      <w:r/>
      <w:bookmarkStart w:id="301" w:name="_Toc164229371"/>
      <w:r/>
      <w:bookmarkStart w:id="302" w:name="_Toc127151530"/>
      <w:r/>
      <w:bookmarkStart w:id="303" w:name="_Toc127161444"/>
      <w:r/>
      <w:bookmarkStart w:id="304" w:name="_Toc151193628"/>
      <w:r/>
      <w:bookmarkStart w:id="305" w:name="_Toc520356155"/>
      <w:r/>
      <w:bookmarkStart w:id="306" w:name="_Toc164351624"/>
      <w:r/>
      <w:bookmarkStart w:id="307" w:name="_Toc151190157"/>
      <w:r/>
      <w:bookmarkStart w:id="308" w:name="_Toc142311032"/>
      <w:r/>
      <w:bookmarkStart w:id="309" w:name="_Toc127151731"/>
      <w:r/>
      <w:bookmarkStart w:id="310" w:name="_Toc149720823"/>
      <w:r/>
      <w:bookmarkStart w:id="311" w:name="_Toc164608799"/>
      <w:r/>
      <w:bookmarkStart w:id="312" w:name="_Toc150774630"/>
      <w:r/>
      <w:bookmarkStart w:id="313" w:name="_Toc164229225"/>
      <w:r/>
      <w:bookmarkStart w:id="314" w:name="_Toc151193700"/>
      <w:r/>
      <w:bookmarkStart w:id="315" w:name="_Toc150774735"/>
      <w:r/>
      <w:bookmarkStart w:id="316" w:name="_Toc195842895"/>
      <w:r/>
      <w:bookmarkStart w:id="317" w:name="_Toc150509281"/>
      <w:r/>
      <w:bookmarkStart w:id="318" w:name="_Toc151193844"/>
      <w:r/>
      <w:bookmarkStart w:id="319" w:name="_Toc151193918"/>
      <w:r/>
      <w:bookmarkStart w:id="320" w:name="_Toc151193772"/>
      <w:r/>
      <w:bookmarkStart w:id="321" w:name="_Toc164608644"/>
      <w:r>
        <w:rPr>
          <w:rFonts w:hint="eastAsia" w:ascii="宋体" w:hAnsi="宋体" w:cs="宋体"/>
          <w:b/>
          <w:bCs/>
          <w:color w:val="000000"/>
          <w:sz w:val="24"/>
          <w:highlight w:val="none"/>
        </w:rPr>
        <w:t xml:space="preserve">11 投标报价</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11.1 所有投标均以人民币报价。</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11.2 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11.2.2按照招标文件要求完成本项目的全部相关服务费用。 </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11.3 采购人不得向供应商索要或者接受其给予的赠品、回扣或者与采购无关的其他商品、服务。</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11.4 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322" w:name="_Toc150774736"/>
      <w:r/>
      <w:bookmarkStart w:id="323" w:name="_Toc226965721"/>
      <w:r/>
      <w:bookmarkStart w:id="324" w:name="_Toc150774631"/>
      <w:r/>
      <w:bookmarkStart w:id="325" w:name="_Toc264969221"/>
      <w:r/>
      <w:bookmarkStart w:id="326" w:name="_Toc127151732"/>
      <w:r/>
      <w:bookmarkStart w:id="327" w:name="_Toc305158799"/>
      <w:r/>
      <w:bookmarkStart w:id="328" w:name="_Toc151190158"/>
      <w:r/>
      <w:bookmarkStart w:id="329" w:name="_Toc127151531"/>
      <w:r/>
      <w:bookmarkStart w:id="330" w:name="_Toc164229372"/>
      <w:r/>
      <w:bookmarkStart w:id="331" w:name="_Toc164229226"/>
      <w:r/>
      <w:bookmarkStart w:id="332" w:name="_Toc226337227"/>
      <w:r/>
      <w:bookmarkStart w:id="333" w:name="_Toc226965804"/>
      <w:r/>
      <w:bookmarkStart w:id="334" w:name="_Toc226309775"/>
      <w:r/>
      <w:bookmarkStart w:id="335" w:name="_Toc151193701"/>
      <w:r/>
      <w:bookmarkStart w:id="336" w:name="_Toc127161445"/>
      <w:r/>
      <w:bookmarkStart w:id="337" w:name="_Ref467306513"/>
      <w:r/>
      <w:bookmarkStart w:id="338" w:name="_Toc142311033"/>
      <w:r/>
      <w:bookmarkStart w:id="339" w:name="_Toc265228369"/>
      <w:r/>
      <w:bookmarkStart w:id="340" w:name="_Toc164608800"/>
      <w:r/>
      <w:bookmarkStart w:id="341" w:name="_Toc151193773"/>
      <w:r/>
      <w:bookmarkStart w:id="342" w:name="_Toc164608645"/>
      <w:r/>
      <w:bookmarkStart w:id="343" w:name="_Toc164351625"/>
      <w:r/>
      <w:bookmarkStart w:id="344" w:name="_Toc149720824"/>
      <w:r/>
      <w:bookmarkStart w:id="345" w:name="_Toc150509282"/>
      <w:r/>
      <w:bookmarkStart w:id="346" w:name="_Toc150480769"/>
      <w:r/>
      <w:bookmarkStart w:id="347" w:name="_Toc151193845"/>
      <w:r/>
      <w:bookmarkStart w:id="348" w:name="_Toc520356156"/>
      <w:r/>
      <w:bookmarkStart w:id="349" w:name="_Toc195842896"/>
      <w:r/>
      <w:bookmarkStart w:id="350" w:name="_Toc305158873"/>
      <w:r/>
      <w:bookmarkStart w:id="351" w:name="_Toc151193919"/>
      <w:r/>
      <w:bookmarkStart w:id="352" w:name="_Toc151193629"/>
      <w:r>
        <w:rPr>
          <w:rFonts w:hint="eastAsia" w:ascii="宋体" w:hAnsi="宋体" w:cs="宋体"/>
          <w:b/>
          <w:bCs/>
          <w:color w:val="000000"/>
          <w:sz w:val="24"/>
          <w:highlight w:val="none"/>
        </w:rPr>
        <w:t xml:space="preserve">12 投标保证金</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cs="宋体"/>
          <w:b/>
          <w:bCs/>
          <w:color w:val="000000"/>
          <w:sz w:val="24"/>
          <w:highlight w:val="none"/>
        </w:rPr>
      </w:r>
      <w:r/>
    </w:p>
    <w:p>
      <w:pPr>
        <w:pStyle w:val="840"/>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353" w:name="_Toc226965722"/>
      <w:r/>
      <w:bookmarkStart w:id="354" w:name="_Toc164229227"/>
      <w:r/>
      <w:bookmarkStart w:id="355" w:name="_Toc149720825"/>
      <w:r/>
      <w:bookmarkStart w:id="356" w:name="_Toc264969222"/>
      <w:r/>
      <w:bookmarkStart w:id="357" w:name="_Toc150509283"/>
      <w:r/>
      <w:bookmarkStart w:id="358" w:name="_Toc150774632"/>
      <w:r/>
      <w:bookmarkStart w:id="359" w:name="_Toc151193702"/>
      <w:r/>
      <w:bookmarkStart w:id="360" w:name="_Toc265228370"/>
      <w:r/>
      <w:bookmarkStart w:id="361" w:name="_Toc150480770"/>
      <w:r/>
      <w:bookmarkStart w:id="362" w:name="_Toc305158800"/>
      <w:r/>
      <w:bookmarkStart w:id="363" w:name="_Toc195842897"/>
      <w:r/>
      <w:bookmarkStart w:id="364" w:name="_Toc305158874"/>
      <w:r/>
      <w:bookmarkStart w:id="365" w:name="_Toc151193774"/>
      <w:r/>
      <w:bookmarkStart w:id="366" w:name="_Toc142311034"/>
      <w:r/>
      <w:bookmarkStart w:id="367" w:name="_Toc127151532"/>
      <w:r/>
      <w:bookmarkStart w:id="368" w:name="_Toc520356157"/>
      <w:r/>
      <w:bookmarkStart w:id="369" w:name="_Toc151193846"/>
      <w:r/>
      <w:bookmarkStart w:id="370" w:name="_Toc151193630"/>
      <w:r/>
      <w:bookmarkStart w:id="371" w:name="_Toc164608801"/>
      <w:r/>
      <w:bookmarkStart w:id="372" w:name="_Toc150774737"/>
      <w:r/>
      <w:bookmarkStart w:id="373" w:name="_Toc127161446"/>
      <w:r/>
      <w:bookmarkStart w:id="374" w:name="_Toc151190159"/>
      <w:r/>
      <w:bookmarkStart w:id="375" w:name="_Toc164229373"/>
      <w:r/>
      <w:bookmarkStart w:id="376" w:name="_Toc226337228"/>
      <w:r/>
      <w:bookmarkStart w:id="377" w:name="_Toc164351626"/>
      <w:r/>
      <w:bookmarkStart w:id="378" w:name="_Toc127151733"/>
      <w:r/>
      <w:bookmarkStart w:id="379" w:name="_Toc164608646"/>
      <w:r/>
      <w:bookmarkStart w:id="380" w:name="_Toc226965805"/>
      <w:r/>
      <w:bookmarkStart w:id="381" w:name="_Toc226309776"/>
      <w:r/>
      <w:bookmarkStart w:id="382" w:name="_Toc151193920"/>
      <w:r>
        <w:rPr>
          <w:rFonts w:hint="eastAsia" w:ascii="宋体" w:hAnsi="宋体" w:cs="宋体"/>
          <w:b/>
          <w:bCs/>
          <w:color w:val="000000"/>
          <w:sz w:val="24"/>
          <w:highlight w:val="none"/>
        </w:rPr>
        <w:t xml:space="preserve">13投标有效期</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383" w:name="_Toc226965723"/>
      <w:r/>
      <w:bookmarkStart w:id="384" w:name="_Toc151193703"/>
      <w:r/>
      <w:bookmarkStart w:id="385" w:name="_Toc226309777"/>
      <w:r/>
      <w:bookmarkStart w:id="386" w:name="_Toc265228371"/>
      <w:r/>
      <w:bookmarkStart w:id="387" w:name="_Toc150774738"/>
      <w:r/>
      <w:bookmarkStart w:id="388" w:name="_Toc164351627"/>
      <w:r/>
      <w:bookmarkStart w:id="389" w:name="_Toc151193847"/>
      <w:r/>
      <w:bookmarkStart w:id="390" w:name="_Toc150480771"/>
      <w:r/>
      <w:bookmarkStart w:id="391" w:name="_Toc142311035"/>
      <w:r/>
      <w:bookmarkStart w:id="392" w:name="_Toc127151533"/>
      <w:r/>
      <w:bookmarkStart w:id="393" w:name="_Toc127161447"/>
      <w:r/>
      <w:bookmarkStart w:id="394" w:name="_Toc151193921"/>
      <w:r/>
      <w:bookmarkStart w:id="395" w:name="_Toc305158875"/>
      <w:r/>
      <w:bookmarkStart w:id="396" w:name="_Toc164608802"/>
      <w:r/>
      <w:bookmarkStart w:id="397" w:name="_Toc149720826"/>
      <w:r/>
      <w:bookmarkStart w:id="398" w:name="_Toc151190160"/>
      <w:r/>
      <w:bookmarkStart w:id="399" w:name="_Toc520356158"/>
      <w:r/>
      <w:bookmarkStart w:id="400" w:name="_Toc127151734"/>
      <w:r/>
      <w:bookmarkStart w:id="401" w:name="_Toc226337229"/>
      <w:r/>
      <w:bookmarkStart w:id="402" w:name="_Toc195842898"/>
      <w:r/>
      <w:bookmarkStart w:id="403" w:name="_Toc150509284"/>
      <w:r/>
      <w:bookmarkStart w:id="404" w:name="_Toc150774633"/>
      <w:r/>
      <w:bookmarkStart w:id="405" w:name="_Toc151193775"/>
      <w:r/>
      <w:bookmarkStart w:id="406" w:name="_Toc164229228"/>
      <w:r/>
      <w:bookmarkStart w:id="407" w:name="_Toc226965806"/>
      <w:r/>
      <w:bookmarkStart w:id="408" w:name="_Toc151193631"/>
      <w:r/>
      <w:bookmarkStart w:id="409" w:name="_Toc164608647"/>
      <w:r/>
      <w:bookmarkStart w:id="410" w:name="_Toc264969223"/>
      <w:r/>
      <w:bookmarkStart w:id="411" w:name="_Toc305158801"/>
      <w:r/>
      <w:bookmarkStart w:id="412" w:name="_Toc164229374"/>
      <w:r>
        <w:rPr>
          <w:rFonts w:hint="eastAsia" w:ascii="宋体" w:hAnsi="宋体" w:cs="宋体"/>
          <w:b/>
          <w:bCs/>
          <w:color w:val="000000"/>
          <w:sz w:val="24"/>
          <w:highlight w:val="none"/>
        </w:rPr>
        <w:t xml:space="preserve">14 投标文件的签署</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b/>
          <w:bCs/>
          <w:color w:val="000000"/>
          <w:sz w:val="24"/>
          <w:highlight w:val="none"/>
        </w:rPr>
        <w:t xml:space="preserve">、加盖公章</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bookmarkStart w:id="413" w:name="_Toc150774739"/>
      <w:r/>
      <w:bookmarkStart w:id="414" w:name="_Toc151193922"/>
      <w:r/>
      <w:bookmarkStart w:id="415" w:name="_Toc151193704"/>
      <w:r/>
      <w:bookmarkStart w:id="416" w:name="_Toc151193776"/>
      <w:r/>
      <w:bookmarkStart w:id="417" w:name="_Toc264969224"/>
      <w:r/>
      <w:bookmarkStart w:id="418" w:name="_Toc150774634"/>
      <w:r/>
      <w:bookmarkStart w:id="419" w:name="_Toc195842899"/>
      <w:r/>
      <w:bookmarkStart w:id="420" w:name="_Toc305158802"/>
      <w:r/>
      <w:bookmarkStart w:id="421" w:name="_Toc520356159"/>
      <w:r/>
      <w:bookmarkStart w:id="422" w:name="_Toc226337230"/>
      <w:r/>
      <w:bookmarkStart w:id="423" w:name="_Toc150480772"/>
      <w:r/>
      <w:bookmarkStart w:id="424" w:name="_Toc127151534"/>
      <w:r/>
      <w:bookmarkStart w:id="425" w:name="_Toc151190161"/>
      <w:r/>
      <w:bookmarkStart w:id="426" w:name="_Toc226965724"/>
      <w:r/>
      <w:bookmarkStart w:id="427" w:name="_Toc151193848"/>
      <w:r/>
      <w:bookmarkStart w:id="428" w:name="_Toc226309778"/>
      <w:r/>
      <w:bookmarkStart w:id="429" w:name="_Toc150509285"/>
      <w:r/>
      <w:bookmarkStart w:id="430" w:name="_Toc226965807"/>
      <w:r/>
      <w:bookmarkStart w:id="431" w:name="_Toc142311036"/>
      <w:r/>
      <w:bookmarkStart w:id="432" w:name="_Toc151193632"/>
      <w:r/>
      <w:bookmarkStart w:id="433" w:name="_Toc265228372"/>
      <w:r/>
      <w:bookmarkStart w:id="434" w:name="_Toc305158876"/>
      <w:r>
        <w:rPr>
          <w:rFonts w:hint="eastAsia" w:ascii="宋体" w:hAnsi="宋体" w:cs="宋体"/>
          <w:color w:val="000000"/>
          <w:sz w:val="24"/>
          <w:highlight w:val="none"/>
        </w:rPr>
        <w:t xml:space="preserve">14.1 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14.2 招标文件要求加盖公章的内容，一般通过投标文件编制工具加盖电子签章。</w:t>
      </w:r>
      <w:r>
        <w:rPr>
          <w:rFonts w:hint="eastAsia" w:ascii="宋体" w:hAnsi="宋体" w:cs="宋体"/>
          <w:color w:val="000000"/>
          <w:sz w:val="24"/>
          <w:highlight w:val="none"/>
        </w:rPr>
      </w:r>
      <w:r/>
    </w:p>
    <w:p>
      <w:pPr>
        <w:pStyle w:val="842"/>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2"/>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投标文件的提交</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sz w:val="24"/>
          <w:szCs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435" w:name="_Toc151193849"/>
      <w:r/>
      <w:bookmarkStart w:id="436" w:name="_Toc164229230"/>
      <w:r/>
      <w:bookmarkStart w:id="437" w:name="_Toc164229376"/>
      <w:r/>
      <w:bookmarkStart w:id="438" w:name="_Toc195842900"/>
      <w:r/>
      <w:bookmarkStart w:id="439" w:name="_Toc149720828"/>
      <w:r/>
      <w:bookmarkStart w:id="440" w:name="_Toc127151736"/>
      <w:r/>
      <w:bookmarkStart w:id="441" w:name="_Toc265228373"/>
      <w:r/>
      <w:bookmarkStart w:id="442" w:name="_Toc264969225"/>
      <w:r/>
      <w:bookmarkStart w:id="443" w:name="_Toc151193777"/>
      <w:r/>
      <w:bookmarkStart w:id="444" w:name="_Toc150774635"/>
      <w:r/>
      <w:bookmarkStart w:id="445" w:name="_Toc142311037"/>
      <w:r/>
      <w:bookmarkStart w:id="446" w:name="_Toc226965808"/>
      <w:r/>
      <w:bookmarkStart w:id="447" w:name="_Toc164351629"/>
      <w:r/>
      <w:bookmarkStart w:id="448" w:name="_Toc150509286"/>
      <w:r/>
      <w:bookmarkStart w:id="449" w:name="_Toc305158877"/>
      <w:r/>
      <w:bookmarkStart w:id="450" w:name="_Toc151193633"/>
      <w:r/>
      <w:bookmarkStart w:id="451" w:name="_Toc226309779"/>
      <w:r/>
      <w:bookmarkStart w:id="452" w:name="_Toc164608804"/>
      <w:r/>
      <w:bookmarkStart w:id="453" w:name="_Toc164608649"/>
      <w:r/>
      <w:bookmarkStart w:id="454" w:name="_Toc226337231"/>
      <w:r/>
      <w:bookmarkStart w:id="455" w:name="_Toc151190162"/>
      <w:r/>
      <w:bookmarkStart w:id="456" w:name="_Toc151193923"/>
      <w:r/>
      <w:bookmarkStart w:id="457" w:name="_Toc226965725"/>
      <w:r/>
      <w:bookmarkStart w:id="458" w:name="_Toc151193705"/>
      <w:r/>
      <w:bookmarkStart w:id="459" w:name="_Toc305158803"/>
      <w:r/>
      <w:bookmarkStart w:id="460" w:name="_Toc127151535"/>
      <w:r/>
      <w:bookmarkStart w:id="461" w:name="_Toc520356160"/>
      <w:r/>
      <w:bookmarkStart w:id="462" w:name="_Toc150774740"/>
      <w:r/>
      <w:bookmarkStart w:id="463" w:name="_Toc150480773"/>
      <w:r/>
      <w:bookmarkStart w:id="464" w:name="_Toc127161449"/>
      <w:r>
        <w:rPr>
          <w:rFonts w:hint="eastAsia" w:ascii="宋体" w:hAnsi="宋体" w:cs="宋体"/>
          <w:b/>
          <w:bCs/>
          <w:color w:val="000000"/>
          <w:sz w:val="24"/>
          <w:highlight w:val="none"/>
        </w:rPr>
        <w:t xml:space="preserve">15 投标文件的</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cs="宋体"/>
          <w:b/>
          <w:bCs/>
          <w:color w:val="000000"/>
          <w:sz w:val="24"/>
          <w:highlight w:val="none"/>
        </w:rPr>
        <w:t xml:space="preserve">提交</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15.1本项目使用“苏采云”</w:t>
      </w:r>
      <w:r>
        <w:rPr>
          <w:rFonts w:hint="eastAsia" w:ascii="宋体" w:hAnsi="宋体" w:cs="宋体"/>
          <w:color w:val="000000"/>
          <w:sz w:val="24"/>
          <w:highlight w:val="none"/>
          <w:lang w:bidi="ar"/>
        </w:rPr>
        <w:t xml:space="preserve">政府采购一体化平台</w:t>
      </w:r>
      <w:r>
        <w:rPr>
          <w:rFonts w:hint="eastAsia" w:ascii="宋体" w:hAnsi="宋体" w:cs="宋体"/>
          <w:color w:val="000000"/>
          <w:sz w:val="24"/>
          <w:highlight w:val="none"/>
        </w:rPr>
        <w:t xml:space="preserve">。投标人根据招标文件及“苏采云”</w:t>
      </w:r>
      <w:r>
        <w:rPr>
          <w:rFonts w:hint="eastAsia" w:ascii="宋体" w:hAnsi="宋体" w:cs="宋体"/>
          <w:color w:val="000000"/>
          <w:sz w:val="24"/>
          <w:highlight w:val="none"/>
          <w:lang w:bidi="ar"/>
        </w:rPr>
        <w:t xml:space="preserve">系统</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15.2采购人及采购代理机构拒绝接受通过“苏采云”系统以外任何形式提交的投标文件。</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465" w:name="_Toc151190163"/>
      <w:r/>
      <w:bookmarkStart w:id="466" w:name="_Toc164229231"/>
      <w:r/>
      <w:bookmarkStart w:id="467" w:name="_Toc150774636"/>
      <w:r/>
      <w:bookmarkStart w:id="468" w:name="_Toc164351630"/>
      <w:r/>
      <w:bookmarkStart w:id="469" w:name="_Toc520356161"/>
      <w:r/>
      <w:bookmarkStart w:id="470" w:name="_Toc164608805"/>
      <w:r/>
      <w:bookmarkStart w:id="471" w:name="_Toc142311038"/>
      <w:r/>
      <w:bookmarkStart w:id="472" w:name="_Toc149720829"/>
      <w:r/>
      <w:bookmarkStart w:id="473" w:name="_Toc151193778"/>
      <w:r/>
      <w:bookmarkStart w:id="474" w:name="_Toc264969226"/>
      <w:r/>
      <w:bookmarkStart w:id="475" w:name="_Toc305158804"/>
      <w:r/>
      <w:bookmarkStart w:id="476" w:name="_Toc226965726"/>
      <w:r/>
      <w:bookmarkStart w:id="477" w:name="_Toc265228374"/>
      <w:r/>
      <w:bookmarkStart w:id="478" w:name="_Toc150480774"/>
      <w:r/>
      <w:bookmarkStart w:id="479" w:name="_Toc151193634"/>
      <w:r/>
      <w:bookmarkStart w:id="480" w:name="_Toc151193924"/>
      <w:r/>
      <w:bookmarkStart w:id="481" w:name="_Toc226309780"/>
      <w:r/>
      <w:bookmarkStart w:id="482" w:name="_Toc150774741"/>
      <w:r/>
      <w:bookmarkStart w:id="483" w:name="_Toc195842901"/>
      <w:r/>
      <w:bookmarkStart w:id="484" w:name="_Toc151193850"/>
      <w:r/>
      <w:bookmarkStart w:id="485" w:name="_Toc305158878"/>
      <w:r/>
      <w:bookmarkStart w:id="486" w:name="_Toc226337232"/>
      <w:r/>
      <w:bookmarkStart w:id="487" w:name="_Toc150509287"/>
      <w:r/>
      <w:bookmarkStart w:id="488" w:name="_Toc127151536"/>
      <w:r/>
      <w:bookmarkStart w:id="489" w:name="_Toc164608650"/>
      <w:r/>
      <w:bookmarkStart w:id="490" w:name="_Toc226965809"/>
      <w:r/>
      <w:bookmarkStart w:id="491" w:name="_Toc151193706"/>
      <w:r/>
      <w:bookmarkStart w:id="492" w:name="_Toc127151737"/>
      <w:r/>
      <w:bookmarkStart w:id="493" w:name="_Toc164229377"/>
      <w:r/>
      <w:bookmarkStart w:id="494" w:name="_Toc127161450"/>
      <w:r>
        <w:rPr>
          <w:rFonts w:hint="eastAsia" w:ascii="宋体" w:hAnsi="宋体" w:cs="宋体"/>
          <w:b/>
          <w:bCs/>
          <w:color w:val="000000"/>
          <w:sz w:val="24"/>
          <w:highlight w:val="none"/>
        </w:rPr>
        <w:t xml:space="preserve">16 投标截止</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cs="宋体"/>
          <w:b/>
          <w:bCs/>
          <w:color w:val="000000"/>
          <w:sz w:val="24"/>
          <w:highlight w:val="none"/>
        </w:rPr>
        <w:t xml:space="preserve">时间</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16.1投标人应在招标文件要求提交投标文件截止时间前，将电子投标文件提交至“苏采云”政府采购一体化平台。</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495" w:name="_Toc164351631"/>
      <w:r/>
      <w:bookmarkStart w:id="496" w:name="_Toc151193779"/>
      <w:r/>
      <w:bookmarkStart w:id="497" w:name="_Toc265228375"/>
      <w:r/>
      <w:bookmarkStart w:id="498" w:name="_Toc264969227"/>
      <w:r/>
      <w:bookmarkStart w:id="499" w:name="_Toc520356162"/>
      <w:r/>
      <w:bookmarkStart w:id="500" w:name="_Toc164608806"/>
      <w:r/>
      <w:bookmarkStart w:id="501" w:name="_Toc305158805"/>
      <w:r/>
      <w:bookmarkStart w:id="502" w:name="_Toc305158879"/>
      <w:r/>
      <w:bookmarkStart w:id="503" w:name="_Toc150480775"/>
      <w:r/>
      <w:bookmarkStart w:id="504" w:name="_Toc226337233"/>
      <w:r/>
      <w:bookmarkStart w:id="505" w:name="_Toc151193707"/>
      <w:r/>
      <w:bookmarkStart w:id="506" w:name="_Toc164229232"/>
      <w:r/>
      <w:bookmarkStart w:id="507" w:name="_Toc226965727"/>
      <w:r/>
      <w:bookmarkStart w:id="508" w:name="_Toc151193851"/>
      <w:r/>
      <w:bookmarkStart w:id="509" w:name="_Toc151193635"/>
      <w:r/>
      <w:bookmarkStart w:id="510" w:name="_Toc150509288"/>
      <w:r/>
      <w:bookmarkStart w:id="511" w:name="_Toc226965810"/>
      <w:r/>
      <w:bookmarkStart w:id="512" w:name="_Toc164608651"/>
      <w:r/>
      <w:bookmarkStart w:id="513" w:name="_Toc127151738"/>
      <w:r/>
      <w:bookmarkStart w:id="514" w:name="_Toc150774742"/>
      <w:r/>
      <w:bookmarkStart w:id="515" w:name="_Toc127161451"/>
      <w:r/>
      <w:bookmarkStart w:id="516" w:name="_Toc149720830"/>
      <w:r/>
      <w:bookmarkStart w:id="517" w:name="_Toc151190164"/>
      <w:r/>
      <w:bookmarkStart w:id="518" w:name="_Toc127151537"/>
      <w:r/>
      <w:bookmarkStart w:id="519" w:name="_Toc226309781"/>
      <w:r/>
      <w:bookmarkStart w:id="520" w:name="_Toc164229378"/>
      <w:r/>
      <w:bookmarkStart w:id="521" w:name="_Toc150774637"/>
      <w:r/>
      <w:bookmarkStart w:id="522" w:name="_Toc151193925"/>
      <w:r/>
      <w:bookmarkStart w:id="523" w:name="_Toc195842902"/>
      <w:r/>
      <w:bookmarkStart w:id="524" w:name="_Toc142311039"/>
      <w:r>
        <w:rPr>
          <w:rFonts w:hint="eastAsia" w:ascii="宋体" w:hAnsi="宋体" w:cs="宋体"/>
          <w:b/>
          <w:bCs/>
          <w:color w:val="000000"/>
          <w:sz w:val="24"/>
          <w:highlight w:val="none"/>
        </w:rPr>
        <w:t xml:space="preserve">17 投标文件的修改与撤回</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17.1 投标截止时间前，投标人可以通过“苏采云”系统对所提交的投标文件进行补充、修改或者撤回。</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17.2 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2"/>
        <w:spacing w:before="0" w:line="360" w:lineRule="auto"/>
        <w:rPr>
          <w:rFonts w:hint="eastAsia" w:ascii="宋体" w:hAnsi="宋体" w:eastAsia="宋体" w:cs="宋体"/>
          <w:color w:val="000000"/>
          <w:sz w:val="24"/>
          <w:szCs w:val="24"/>
          <w:highlight w:val="none"/>
        </w:rPr>
      </w:pPr>
      <w:r/>
      <w:bookmarkStart w:id="525" w:name="_Toc305158806"/>
      <w:r/>
      <w:bookmarkStart w:id="526" w:name="_Toc265228376"/>
      <w:r/>
      <w:bookmarkStart w:id="527" w:name="_Toc226965811"/>
      <w:r/>
      <w:bookmarkStart w:id="528" w:name="_Toc151193852"/>
      <w:r/>
      <w:bookmarkStart w:id="529" w:name="_Toc150774638"/>
      <w:r/>
      <w:bookmarkStart w:id="530" w:name="_Toc226965728"/>
      <w:r/>
      <w:bookmarkStart w:id="531" w:name="_Toc127151538"/>
      <w:r/>
      <w:bookmarkStart w:id="532" w:name="_Toc151193708"/>
      <w:r/>
      <w:bookmarkStart w:id="533" w:name="_Toc226337234"/>
      <w:r/>
      <w:bookmarkStart w:id="534" w:name="_Toc150774743"/>
      <w:r/>
      <w:bookmarkStart w:id="535" w:name="_Toc520356163"/>
      <w:r/>
      <w:bookmarkStart w:id="536" w:name="_Toc195842903"/>
      <w:r/>
      <w:bookmarkStart w:id="537" w:name="_Toc226309782"/>
      <w:r/>
      <w:bookmarkStart w:id="538" w:name="_Toc264969228"/>
      <w:r/>
      <w:bookmarkStart w:id="539" w:name="_Toc150480776"/>
      <w:r/>
      <w:bookmarkStart w:id="540" w:name="_Toc151193780"/>
      <w:r/>
      <w:bookmarkStart w:id="541" w:name="_Toc151190165"/>
      <w:r/>
      <w:bookmarkStart w:id="542" w:name="_Toc142311040"/>
      <w:r/>
      <w:bookmarkStart w:id="543" w:name="_Toc151193636"/>
      <w:r/>
      <w:bookmarkStart w:id="544" w:name="_Toc305158880"/>
      <w:r/>
      <w:bookmarkStart w:id="545" w:name="_Toc151193926"/>
      <w:r/>
      <w:bookmarkStart w:id="546" w:name="_Toc150509289"/>
      <w:r>
        <w:rPr>
          <w:rFonts w:hint="eastAsia" w:ascii="宋体" w:hAnsi="宋体" w:eastAsia="宋体" w:cs="宋体"/>
          <w:color w:val="000000"/>
          <w:sz w:val="24"/>
          <w:szCs w:val="24"/>
          <w:highlight w:val="none"/>
        </w:rPr>
        <w:t xml:space="preserve">五   开标、资格审查及评标</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000000"/>
          <w:sz w:val="24"/>
          <w:szCs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547" w:name="_Toc195842904"/>
      <w:r/>
      <w:bookmarkStart w:id="548" w:name="_Toc150509290"/>
      <w:r/>
      <w:bookmarkStart w:id="549" w:name="_Toc150480777"/>
      <w:r/>
      <w:bookmarkStart w:id="550" w:name="_Toc305158807"/>
      <w:r/>
      <w:bookmarkStart w:id="551" w:name="_Toc164229234"/>
      <w:r/>
      <w:bookmarkStart w:id="552" w:name="_Toc142311041"/>
      <w:r/>
      <w:bookmarkStart w:id="553" w:name="_Toc151193709"/>
      <w:r/>
      <w:bookmarkStart w:id="554" w:name="_Toc264969229"/>
      <w:r/>
      <w:bookmarkStart w:id="555" w:name="_Toc127161453"/>
      <w:r/>
      <w:bookmarkStart w:id="556" w:name="_Toc151193781"/>
      <w:r/>
      <w:bookmarkStart w:id="557" w:name="_Toc226965812"/>
      <w:r/>
      <w:bookmarkStart w:id="558" w:name="_Toc520356164"/>
      <w:r/>
      <w:bookmarkStart w:id="559" w:name="_Toc151193637"/>
      <w:r/>
      <w:bookmarkStart w:id="560" w:name="_Toc151190166"/>
      <w:r/>
      <w:bookmarkStart w:id="561" w:name="_Toc164351633"/>
      <w:r/>
      <w:bookmarkStart w:id="562" w:name="_Toc226309783"/>
      <w:r/>
      <w:bookmarkStart w:id="563" w:name="_Toc150774744"/>
      <w:r/>
      <w:bookmarkStart w:id="564" w:name="_Toc151193927"/>
      <w:r/>
      <w:bookmarkStart w:id="565" w:name="_Toc164229380"/>
      <w:r/>
      <w:bookmarkStart w:id="566" w:name="_Toc265228377"/>
      <w:r/>
      <w:bookmarkStart w:id="567" w:name="_Toc151193853"/>
      <w:r/>
      <w:bookmarkStart w:id="568" w:name="_Toc150774639"/>
      <w:r/>
      <w:bookmarkStart w:id="569" w:name="_Toc127151740"/>
      <w:r/>
      <w:bookmarkStart w:id="570" w:name="_Toc226965729"/>
      <w:r/>
      <w:bookmarkStart w:id="571" w:name="_Toc164608808"/>
      <w:r/>
      <w:bookmarkStart w:id="572" w:name="_Toc149720832"/>
      <w:r/>
      <w:bookmarkStart w:id="573" w:name="_Toc226337235"/>
      <w:r/>
      <w:bookmarkStart w:id="574" w:name="_Toc305158881"/>
      <w:r/>
      <w:bookmarkStart w:id="575" w:name="_Toc164608653"/>
      <w:r/>
      <w:bookmarkStart w:id="576" w:name="_Toc127151539"/>
      <w:r>
        <w:rPr>
          <w:rFonts w:hint="eastAsia" w:ascii="宋体" w:hAnsi="宋体" w:cs="宋体"/>
          <w:b/>
          <w:bCs/>
          <w:color w:val="000000"/>
          <w:sz w:val="24"/>
          <w:highlight w:val="none"/>
        </w:rPr>
        <w:t xml:space="preserve">18开标</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18.1 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18.2 本项目开标采用不见面招投标模式，使用“苏采云”系统在线进行开标。投标人应在规定的时间内对投标文件进行解密，因非系统原因导致的解密失败，视为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18.3 开标过程将使用“苏采云”政府采购一体化平台公布投标人名称、投标价格和招标文件规定的需要宣布的其他内容并进行记录，并由参加开标的各投标人代表在规定时间内确认</w:t>
      </w:r>
      <w:bookmarkStart w:id="577"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18.5 投标人不足3家的，不予开标。</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18.7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18.8如果在采购活动过程中出现以下情形，导致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18.9  1)平台系统发生故障而无法登录访问的；</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19 资格审查</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19.1 见第三章《资格审查》。</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End w:id="577"/>
      <w:r/>
      <w:bookmarkStart w:id="578" w:name="_Toc151190167"/>
      <w:r/>
      <w:bookmarkStart w:id="579" w:name="_Toc195842905"/>
      <w:r/>
      <w:bookmarkStart w:id="580" w:name="_Toc142311042"/>
      <w:r/>
      <w:bookmarkStart w:id="581" w:name="_Toc164229381"/>
      <w:r/>
      <w:bookmarkStart w:id="582" w:name="_Toc151193782"/>
      <w:r/>
      <w:bookmarkStart w:id="583" w:name="_Toc151193928"/>
      <w:r/>
      <w:bookmarkStart w:id="584" w:name="_Toc150509291"/>
      <w:r/>
      <w:bookmarkStart w:id="585" w:name="_Toc150480778"/>
      <w:r/>
      <w:bookmarkStart w:id="586" w:name="_Toc226309784"/>
      <w:r/>
      <w:bookmarkStart w:id="587" w:name="_Toc164229235"/>
      <w:r/>
      <w:bookmarkStart w:id="588" w:name="_Toc264969230"/>
      <w:r/>
      <w:bookmarkStart w:id="589" w:name="_Toc265228378"/>
      <w:r/>
      <w:bookmarkStart w:id="590" w:name="_Toc151193710"/>
      <w:r/>
      <w:bookmarkStart w:id="591" w:name="_Toc226965730"/>
      <w:r/>
      <w:bookmarkStart w:id="592" w:name="_Toc226965813"/>
      <w:r/>
      <w:bookmarkStart w:id="593" w:name="_Toc305158882"/>
      <w:r/>
      <w:bookmarkStart w:id="594" w:name="_Toc127151741"/>
      <w:r/>
      <w:bookmarkStart w:id="595" w:name="_Toc149720833"/>
      <w:r/>
      <w:bookmarkStart w:id="596" w:name="_Toc150774745"/>
      <w:r/>
      <w:bookmarkStart w:id="597" w:name="_Toc127151540"/>
      <w:r/>
      <w:bookmarkStart w:id="598" w:name="_Toc226337236"/>
      <w:r/>
      <w:bookmarkStart w:id="599" w:name="_Toc305158808"/>
      <w:r/>
      <w:bookmarkStart w:id="600" w:name="_Toc164608654"/>
      <w:r/>
      <w:bookmarkStart w:id="601" w:name="_Toc151193638"/>
      <w:r/>
      <w:bookmarkStart w:id="602" w:name="_Toc164351634"/>
      <w:r/>
      <w:bookmarkStart w:id="603" w:name="_Toc151193854"/>
      <w:r/>
      <w:bookmarkStart w:id="604" w:name="_Toc164608809"/>
      <w:r/>
      <w:bookmarkStart w:id="605" w:name="_Toc150774640"/>
      <w:r/>
      <w:bookmarkStart w:id="606" w:name="_Toc127161454"/>
      <w:r>
        <w:rPr>
          <w:rFonts w:hint="eastAsia" w:ascii="宋体" w:hAnsi="宋体" w:cs="宋体"/>
          <w:b/>
          <w:bCs/>
          <w:color w:val="000000"/>
          <w:sz w:val="24"/>
          <w:highlight w:val="none"/>
        </w:rPr>
        <w:t xml:space="preserve">20 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20.1 评标委员会根据政府采购有关规定和本次招标采购项目的特点进行组建，并负责具体评标事务，独立履行职责。</w:t>
      </w:r>
      <w:bookmarkStart w:id="607" w:name="_Toc520356166"/>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20.2 评审专家须符合相关规定。依法自行选定评审专家的，采购人和采购代理机构将查询有关信用记录，对具有行贿、受贿、欺诈等不良信用记录的人员，拒绝其参与政府采购活动。</w:t>
      </w:r>
      <w:bookmarkEnd w:id="607"/>
      <w:r/>
      <w:bookmarkStart w:id="608" w:name="_Toc520356169"/>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 评标程序、评标方法和评标标准</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21.1见第四章《评标程序、评标方法和评标标准》。</w:t>
      </w:r>
      <w:r>
        <w:rPr>
          <w:rFonts w:hint="eastAsia" w:ascii="宋体" w:hAnsi="宋体" w:cs="宋体"/>
          <w:color w:val="000000"/>
          <w:sz w:val="24"/>
          <w:highlight w:val="none"/>
        </w:rPr>
      </w:r>
      <w:r/>
    </w:p>
    <w:p>
      <w:pPr>
        <w:pStyle w:val="840"/>
        <w:ind w:left="10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42"/>
        <w:spacing w:before="0" w:line="360" w:lineRule="auto"/>
        <w:rPr>
          <w:rFonts w:hint="eastAsia" w:ascii="宋体" w:hAnsi="宋体" w:eastAsia="宋体" w:cs="宋体"/>
          <w:color w:val="000000"/>
          <w:sz w:val="24"/>
          <w:szCs w:val="24"/>
          <w:highlight w:val="none"/>
        </w:rPr>
      </w:pPr>
      <w:r/>
      <w:bookmarkStart w:id="609" w:name="_Toc226337241"/>
      <w:r/>
      <w:bookmarkStart w:id="610" w:name="_Toc265228383"/>
      <w:r/>
      <w:bookmarkStart w:id="611" w:name="_Toc226965818"/>
      <w:r/>
      <w:bookmarkStart w:id="612" w:name="_Toc226309789"/>
      <w:r/>
      <w:bookmarkStart w:id="613" w:name="_Toc151193715"/>
      <w:r/>
      <w:bookmarkStart w:id="614" w:name="_Toc305158813"/>
      <w:r/>
      <w:bookmarkStart w:id="615" w:name="_Toc127151545"/>
      <w:r/>
      <w:bookmarkStart w:id="616" w:name="_Toc150774645"/>
      <w:r/>
      <w:bookmarkStart w:id="617" w:name="_Toc151193933"/>
      <w:r/>
      <w:bookmarkStart w:id="618" w:name="_Toc195842910"/>
      <w:r/>
      <w:bookmarkStart w:id="619" w:name="_Toc150509296"/>
      <w:r/>
      <w:bookmarkStart w:id="620" w:name="_Toc264969235"/>
      <w:r/>
      <w:bookmarkStart w:id="621" w:name="_Toc151193643"/>
      <w:r/>
      <w:bookmarkStart w:id="622" w:name="_Toc151190172"/>
      <w:r/>
      <w:bookmarkStart w:id="623" w:name="_Toc305158887"/>
      <w:r/>
      <w:bookmarkStart w:id="624" w:name="_Toc151193859"/>
      <w:r/>
      <w:bookmarkStart w:id="625" w:name="_Toc150774750"/>
      <w:r/>
      <w:bookmarkStart w:id="626" w:name="_Toc142311047"/>
      <w:r/>
      <w:bookmarkStart w:id="627" w:name="_Toc150480783"/>
      <w:r/>
      <w:bookmarkStart w:id="628" w:name="_Toc226965735"/>
      <w:r/>
      <w:bookmarkStart w:id="629" w:name="_Toc151193787"/>
      <w:r>
        <w:rPr>
          <w:rFonts w:hint="eastAsia" w:ascii="宋体" w:hAnsi="宋体" w:eastAsia="宋体" w:cs="宋体"/>
          <w:color w:val="000000"/>
          <w:sz w:val="24"/>
          <w:szCs w:val="24"/>
          <w:highlight w:val="none"/>
        </w:rPr>
        <w:t xml:space="preserve">六   </w:t>
      </w:r>
      <w:bookmarkEnd w:id="608"/>
      <w:r>
        <w:rPr>
          <w:rFonts w:hint="eastAsia" w:ascii="宋体" w:hAnsi="宋体" w:eastAsia="宋体" w:cs="宋体"/>
          <w:color w:val="000000"/>
          <w:sz w:val="24"/>
          <w:szCs w:val="24"/>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51193645"/>
      <w:r/>
      <w:bookmarkStart w:id="631" w:name="_Toc151193789"/>
      <w:r/>
      <w:bookmarkStart w:id="632" w:name="_Toc150480785"/>
      <w:r/>
      <w:bookmarkStart w:id="633" w:name="_Toc149720840"/>
      <w:r/>
      <w:bookmarkStart w:id="634" w:name="_Toc151193935"/>
      <w:r/>
      <w:bookmarkStart w:id="635" w:name="_Toc305158815"/>
      <w:r/>
      <w:bookmarkStart w:id="636" w:name="_Toc127151547"/>
      <w:r/>
      <w:bookmarkStart w:id="637" w:name="_Toc164229242"/>
      <w:r/>
      <w:bookmarkStart w:id="638" w:name="_Toc264969237"/>
      <w:r/>
      <w:bookmarkStart w:id="639" w:name="_Toc164608816"/>
      <w:r/>
      <w:bookmarkStart w:id="640" w:name="_Toc164229388"/>
      <w:r/>
      <w:bookmarkStart w:id="641" w:name="_Toc195842912"/>
      <w:r/>
      <w:bookmarkStart w:id="642" w:name="_Toc151193861"/>
      <w:r/>
      <w:bookmarkStart w:id="643" w:name="_Toc127161461"/>
      <w:r/>
      <w:bookmarkStart w:id="644" w:name="_Toc226309791"/>
      <w:r/>
      <w:bookmarkStart w:id="645" w:name="_Toc226337243"/>
      <w:r/>
      <w:bookmarkStart w:id="646" w:name="_Toc164608661"/>
      <w:r/>
      <w:bookmarkStart w:id="647" w:name="_Toc226965737"/>
      <w:r/>
      <w:bookmarkStart w:id="648" w:name="_Toc265228385"/>
      <w:r/>
      <w:bookmarkStart w:id="649" w:name="_Toc164351641"/>
      <w:r/>
      <w:bookmarkStart w:id="650" w:name="_Toc150774647"/>
      <w:r/>
      <w:bookmarkStart w:id="651" w:name="_Toc127151748"/>
      <w:r/>
      <w:bookmarkStart w:id="652" w:name="_Toc305158889"/>
      <w:r/>
      <w:bookmarkStart w:id="653" w:name="_Toc150509298"/>
      <w:r/>
      <w:bookmarkStart w:id="654" w:name="_Toc226965820"/>
      <w:r/>
      <w:bookmarkStart w:id="655" w:name="_Toc151190174"/>
      <w:r/>
      <w:bookmarkStart w:id="656" w:name="_Toc151193717"/>
      <w:r/>
      <w:bookmarkStart w:id="657" w:name="_Toc142311049"/>
      <w:r/>
      <w:bookmarkStart w:id="658" w:name="_Toc150774752"/>
      <w:r>
        <w:rPr>
          <w:rFonts w:hint="eastAsia" w:ascii="宋体" w:hAnsi="宋体" w:eastAsia="宋体" w:cs="宋体"/>
          <w:color w:val="000000"/>
          <w:sz w:val="24"/>
          <w:szCs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 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22.1采购人将在评标报告确定的中标候选人名单中按顺序确定中标人，中标候选人并列的，由采购人依法确定。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659" w:name="_Toc305158891"/>
      <w:r/>
      <w:bookmarkStart w:id="660" w:name="_Toc305158817"/>
      <w:r/>
      <w:bookmarkStart w:id="661" w:name="_Toc151193863"/>
      <w:r/>
      <w:bookmarkStart w:id="662" w:name="_Toc151190176"/>
      <w:r/>
      <w:bookmarkStart w:id="663" w:name="_Toc226965739"/>
      <w:r/>
      <w:bookmarkStart w:id="664" w:name="_Toc164351643"/>
      <w:r/>
      <w:bookmarkStart w:id="665" w:name="_Toc151193937"/>
      <w:r/>
      <w:bookmarkStart w:id="666" w:name="_Toc127161463"/>
      <w:r/>
      <w:bookmarkStart w:id="667" w:name="_Toc150480787"/>
      <w:r/>
      <w:bookmarkStart w:id="668" w:name="_Toc150774754"/>
      <w:r/>
      <w:bookmarkStart w:id="669" w:name="_Toc264969239"/>
      <w:r/>
      <w:bookmarkStart w:id="670" w:name="_Toc150509300"/>
      <w:r/>
      <w:bookmarkStart w:id="671" w:name="_Toc127151549"/>
      <w:r/>
      <w:bookmarkStart w:id="672" w:name="_Toc164608818"/>
      <w:r/>
      <w:bookmarkStart w:id="673" w:name="_Toc151193647"/>
      <w:r/>
      <w:bookmarkStart w:id="674" w:name="_Toc226309793"/>
      <w:r/>
      <w:bookmarkStart w:id="675" w:name="_Toc265228387"/>
      <w:r/>
      <w:bookmarkStart w:id="676" w:name="_Toc226965822"/>
      <w:r/>
      <w:bookmarkStart w:id="677" w:name="_Toc151193791"/>
      <w:r/>
      <w:bookmarkStart w:id="678" w:name="_Toc151193719"/>
      <w:r/>
      <w:bookmarkStart w:id="679" w:name="_Toc142311051"/>
      <w:r/>
      <w:bookmarkStart w:id="680" w:name="_Toc150774649"/>
      <w:r/>
      <w:bookmarkStart w:id="681" w:name="_Toc164608663"/>
      <w:r/>
      <w:bookmarkStart w:id="682" w:name="_Toc149720842"/>
      <w:r/>
      <w:bookmarkStart w:id="683" w:name="_Toc520356176"/>
      <w:r/>
      <w:bookmarkStart w:id="684" w:name="_Ref467307090"/>
      <w:r/>
      <w:bookmarkStart w:id="685" w:name="_Ref467306425"/>
      <w:r/>
      <w:bookmarkStart w:id="686" w:name="_Toc127151750"/>
      <w:r/>
      <w:bookmarkStart w:id="687" w:name="_Toc164229244"/>
      <w:r/>
      <w:bookmarkStart w:id="688" w:name="_Toc195842914"/>
      <w:r/>
      <w:bookmarkStart w:id="689" w:name="_Toc164229390"/>
      <w:r/>
      <w:bookmarkStart w:id="690" w:name="_Toc226337245"/>
      <w:r>
        <w:rPr>
          <w:rFonts w:hint="eastAsia" w:ascii="宋体" w:hAnsi="宋体" w:cs="宋体"/>
          <w:b/>
          <w:bCs/>
          <w:color w:val="000000"/>
          <w:sz w:val="24"/>
          <w:highlight w:val="none"/>
        </w:rPr>
        <w:t xml:space="preserve">23 中标公告与中标通知书</w:t>
      </w:r>
      <w:bookmarkEnd w:id="659"/>
      <w:r/>
      <w:bookmarkEnd w:id="660"/>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23.1 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23.2 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24 废标</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24.1在招标采购中，出现下列情形之一的，应予废标：</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24.1.1符合专业条件的供应商或者对招标文件作实质响应的供应商不足三家的；</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24.1.2出现影响采购公正的违法、违规行为的；</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24.1.3投标人的报价均超过了采购预算，采购人不能支付的；</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24.1.4因重大变故，采购任务取消的。</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24.1.5</w:t>
      </w: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24.2废标后，采购人将废标理由通知所有投标人。</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6"/>
      <w:r/>
      <w:bookmarkEnd w:id="687"/>
      <w:r/>
      <w:bookmarkEnd w:id="688"/>
      <w:r/>
      <w:bookmarkEnd w:id="689"/>
      <w:r/>
      <w:bookmarkEnd w:id="690"/>
      <w:r/>
      <w:bookmarkStart w:id="691" w:name="_Ref467306978"/>
      <w:r/>
      <w:bookmarkStart w:id="692" w:name="_Toc520356175"/>
      <w:r/>
      <w:bookmarkStart w:id="693" w:name="_Toc150774755"/>
      <w:r/>
      <w:bookmarkStart w:id="694" w:name="_Toc195842915"/>
      <w:r/>
      <w:bookmarkStart w:id="695" w:name="_Toc305158818"/>
      <w:r/>
      <w:bookmarkStart w:id="696" w:name="_Toc164608819"/>
      <w:r/>
      <w:bookmarkStart w:id="697" w:name="_Toc127151550"/>
      <w:r/>
      <w:bookmarkStart w:id="698" w:name="_Toc151193864"/>
      <w:r/>
      <w:bookmarkStart w:id="699" w:name="_Toc150774650"/>
      <w:r/>
      <w:bookmarkStart w:id="700" w:name="_Toc265228388"/>
      <w:r/>
      <w:bookmarkStart w:id="701" w:name="_Ref467307204"/>
      <w:r/>
      <w:bookmarkStart w:id="702" w:name="_Toc150509301"/>
      <w:r/>
      <w:bookmarkStart w:id="703" w:name="_Toc226965823"/>
      <w:r/>
      <w:bookmarkStart w:id="704" w:name="_Toc149720843"/>
      <w:r/>
      <w:bookmarkStart w:id="705" w:name="_Toc151190177"/>
      <w:r/>
      <w:bookmarkStart w:id="706" w:name="_Toc127151751"/>
      <w:r/>
      <w:bookmarkStart w:id="707" w:name="_Toc151193792"/>
      <w:r/>
      <w:bookmarkStart w:id="708" w:name="_Toc264969240"/>
      <w:r/>
      <w:bookmarkStart w:id="709" w:name="_Toc142311052"/>
      <w:r/>
      <w:bookmarkStart w:id="710" w:name="_Toc164229391"/>
      <w:r/>
      <w:bookmarkStart w:id="711" w:name="_Ref467307062"/>
      <w:r/>
      <w:bookmarkStart w:id="712" w:name="_Toc226309794"/>
      <w:r/>
      <w:bookmarkStart w:id="713" w:name="_Toc164351644"/>
      <w:r/>
      <w:bookmarkStart w:id="714" w:name="_Toc226965740"/>
      <w:r/>
      <w:bookmarkStart w:id="715" w:name="_Toc305158892"/>
      <w:r/>
      <w:bookmarkStart w:id="716" w:name="_Toc151193938"/>
      <w:r/>
      <w:bookmarkStart w:id="717" w:name="_Toc151193720"/>
      <w:r/>
      <w:bookmarkStart w:id="718" w:name="_Toc150480788"/>
      <w:r/>
      <w:bookmarkStart w:id="719" w:name="_Toc164229245"/>
      <w:r/>
      <w:bookmarkStart w:id="720" w:name="_Toc226337246"/>
      <w:r/>
      <w:bookmarkStart w:id="721" w:name="_Toc151193648"/>
      <w:r/>
      <w:bookmarkStart w:id="722" w:name="_Toc164608664"/>
      <w:r/>
      <w:bookmarkStart w:id="723" w:name="_Ref467306377"/>
      <w:r/>
      <w:bookmarkStart w:id="724" w:name="_Toc127161464"/>
      <w:r>
        <w:rPr>
          <w:rFonts w:hint="eastAsia" w:ascii="宋体" w:hAnsi="宋体" w:cs="宋体"/>
          <w:b/>
          <w:bCs/>
          <w:color w:val="000000"/>
          <w:sz w:val="24"/>
          <w:highlight w:val="none"/>
        </w:rPr>
        <w:t xml:space="preserve">25 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25.3联合体中标的，联合体各方应当共同与采购人签订合同，就中标项目向采购人承担连带责任。</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25.4政府采购合同不能转包。</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End w:id="683"/>
      <w:r/>
      <w:bookmarkEnd w:id="684"/>
      <w:r/>
      <w:bookmarkEnd w:id="685"/>
      <w:r>
        <w:rPr>
          <w:rFonts w:hint="eastAsia" w:ascii="宋体" w:hAnsi="宋体" w:cs="宋体"/>
          <w:b/>
          <w:bCs/>
          <w:color w:val="000000"/>
          <w:sz w:val="24"/>
          <w:highlight w:val="none"/>
        </w:rPr>
        <w:t xml:space="preserve">26 询问与质疑</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26.1询问</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26.1.1投标人对政府采购活动事项有疑问的，可依法提出询问，并按《投标人须知资料表》载明的形式送达采购人或采购代理机构。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26.1.2采购人或采购代理机构对供应商依法提出的询问，在3个工作日内作出答复，但答复的内容不得涉及商业秘密。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26.2质疑</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26.2.2</w:t>
      </w: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918"/>
          <w:rFonts w:hint="eastAsia" w:ascii="宋体" w:hAnsi="宋体" w:cs="宋体"/>
          <w:color w:val="000000"/>
          <w:sz w:val="24"/>
          <w:highlight w:val="none"/>
        </w:rPr>
        <w:t xml:space="preserve">http://gk</w:t>
      </w:r>
      <w:bookmarkStart w:id="725" w:name="_Hlt100654014"/>
      <w:r>
        <w:rPr>
          <w:rStyle w:val="918"/>
          <w:rFonts w:hint="eastAsia" w:ascii="宋体" w:hAnsi="宋体" w:cs="宋体"/>
          <w:color w:val="000000"/>
          <w:sz w:val="24"/>
          <w:highlight w:val="none"/>
        </w:rPr>
        <w:t xml:space="preserve">s</w:t>
      </w:r>
      <w:bookmarkEnd w:id="725"/>
      <w:r>
        <w:rPr>
          <w:rStyle w:val="918"/>
          <w:rFonts w:hint="eastAsia" w:ascii="宋体" w:hAnsi="宋体" w:cs="宋体"/>
          <w:color w:val="000000"/>
          <w:sz w:val="24"/>
          <w:highlight w:val="none"/>
        </w:rPr>
        <w:t xml:space="preserve">.m</w:t>
      </w:r>
      <w:bookmarkStart w:id="726" w:name="_Hlt100653994"/>
      <w:r/>
      <w:bookmarkStart w:id="727" w:name="_Hlt100653993"/>
      <w:r>
        <w:rPr>
          <w:rStyle w:val="918"/>
          <w:rFonts w:hint="eastAsia" w:ascii="宋体" w:hAnsi="宋体" w:cs="宋体"/>
          <w:color w:val="000000"/>
          <w:sz w:val="24"/>
          <w:highlight w:val="none"/>
        </w:rPr>
        <w:t xml:space="preserve">o</w:t>
      </w:r>
      <w:bookmarkEnd w:id="726"/>
      <w:r/>
      <w:bookmarkEnd w:id="727"/>
      <w:r>
        <w:rPr>
          <w:rStyle w:val="918"/>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40"/>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26.3接收询问和质疑的联系部门、联系电话和通讯地址见《投标人须知资料表》。</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27 代理费</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 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728" w:name="_Toc18256"/>
      <w:r>
        <w:rPr>
          <w:rFonts w:ascii="宋体" w:hAnsi="宋体"/>
          <w:b/>
          <w:color w:val="000000"/>
          <w:sz w:val="36"/>
          <w:szCs w:val="36"/>
          <w:highlight w:val="none"/>
        </w:rPr>
        <w:t xml:space="preserve">第三章   </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b/>
          <w:color w:val="000000"/>
          <w:sz w:val="36"/>
          <w:szCs w:val="36"/>
          <w:highlight w:val="none"/>
        </w:rPr>
        <w:t xml:space="preserve">资格审查</w:t>
      </w:r>
      <w:bookmarkEnd w:id="728"/>
      <w:r/>
      <w:bookmarkStart w:id="729" w:name="_Toc487900382"/>
      <w:r>
        <w:rPr>
          <w:rFonts w:ascii="宋体" w:hAnsi="宋体"/>
          <w:b/>
          <w:color w:val="000000"/>
          <w:sz w:val="36"/>
          <w:szCs w:val="36"/>
          <w:highlight w:val="none"/>
        </w:rPr>
      </w:r>
      <w:r/>
    </w:p>
    <w:p>
      <w:pPr>
        <w:pStyle w:val="840"/>
        <w:jc w:val="center"/>
        <w:spacing w:line="360" w:lineRule="auto"/>
        <w:tabs>
          <w:tab w:val="left" w:pos="360" w:leader="none"/>
          <w:tab w:val="left" w:pos="900" w:leader="none"/>
        </w:tabs>
        <w:rPr>
          <w:rFonts w:ascii="宋体" w:hAnsi="宋体"/>
          <w:b/>
          <w:color w:val="000000"/>
          <w:sz w:val="24"/>
          <w:highlight w:val="none"/>
        </w:rPr>
        <w:outlineLvl w:val="1"/>
      </w:pPr>
      <w:r/>
      <w:bookmarkStart w:id="730" w:name="_Toc99301422"/>
      <w:r>
        <w:rPr>
          <w:rFonts w:ascii="宋体" w:hAnsi="宋体"/>
          <w:b/>
          <w:color w:val="000000"/>
          <w:sz w:val="24"/>
          <w:highlight w:val="none"/>
        </w:rPr>
        <w:t xml:space="preserve">一、资格审查程序</w:t>
      </w:r>
      <w:bookmarkEnd w:id="730"/>
      <w:r>
        <w:rPr>
          <w:rFonts w:ascii="宋体" w:hAnsi="宋体"/>
          <w:b/>
          <w:color w:val="000000"/>
          <w:sz w:val="24"/>
          <w:highlight w:val="none"/>
        </w:rPr>
      </w:r>
      <w:r/>
    </w:p>
    <w:p>
      <w:pPr>
        <w:pStyle w:val="840"/>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840"/>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840"/>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840"/>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840"/>
        <w:jc w:val="left"/>
        <w:widowControl/>
        <w:rPr>
          <w:rFonts w:ascii="宋体" w:hAnsi="宋体"/>
          <w:color w:val="000000"/>
          <w:sz w:val="24"/>
          <w:highlight w:val="none"/>
        </w:rPr>
      </w:pPr>
      <w:r>
        <w:rPr>
          <w:rFonts w:ascii="宋体" w:hAnsi="宋体"/>
          <w:color w:val="000000"/>
          <w:sz w:val="24"/>
          <w:highlight w:val="none"/>
        </w:rPr>
      </w:r>
      <w:r/>
    </w:p>
    <w:p>
      <w:pPr>
        <w:pStyle w:val="840"/>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114"/>
        <w:gridCol w:w="5145"/>
        <w:gridCol w:w="1747"/>
      </w:tblGrid>
      <w:tr>
        <w:trPr>
          <w:cantSplit/>
          <w:trHeight w:val="468"/>
          <w:tblHeader/>
        </w:trPr>
        <w:tc>
          <w:tcPr>
            <w:tcW w:w="455" w:type="dxa"/>
            <w:vAlign w:val="center"/>
            <w:textDirection w:val="lrTb"/>
            <w:noWrap w:val="false"/>
          </w:tcPr>
          <w:p>
            <w:pPr>
              <w:pStyle w:val="840"/>
              <w:jc w:val="center"/>
              <w:tabs>
                <w:tab w:val="left" w:pos="1080" w:leader="none"/>
              </w:tabs>
              <w:rPr>
                <w:rFonts w:hint="eastAsia" w:ascii="宋体" w:hAnsi="宋体" w:eastAsia="宋体" w:cs="宋体"/>
                <w:b/>
                <w:color w:val="000000"/>
                <w:sz w:val="24"/>
                <w:szCs w:val="24"/>
                <w:highlight w:val="none"/>
              </w:rPr>
            </w:pPr>
            <w:r/>
            <w:bookmarkStart w:id="731" w:name="_Hlt487972895"/>
            <w:r/>
            <w:bookmarkEnd w:id="731"/>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066" w:type="dxa"/>
            <w:vAlign w:val="center"/>
            <w:textDirection w:val="lrTb"/>
            <w:noWrap w:val="false"/>
          </w:tcPr>
          <w:p>
            <w:pPr>
              <w:pStyle w:val="840"/>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595" w:type="dxa"/>
            <w:vAlign w:val="center"/>
            <w:textDirection w:val="lrTb"/>
            <w:noWrap w:val="false"/>
          </w:tcPr>
          <w:p>
            <w:pPr>
              <w:pStyle w:val="840"/>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881" w:type="dxa"/>
            <w:vAlign w:val="center"/>
            <w:textDirection w:val="lrTb"/>
            <w:noWrap w:val="false"/>
          </w:tcPr>
          <w:p>
            <w:pPr>
              <w:pStyle w:val="840"/>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满足《中华人民共和国政府采购法》第二十二条规定及法律法规的其他规定</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具体规定见第一章《投标邀请》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投标人资格声明函</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提供了符合招标文件要求的《投标人资格声明函》。</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格式见《投标文件格式》</w:t>
            </w: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投标人信用记录</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查询渠道：信用中国网站和中国政府采购网（www.creditchina.gov.cn、www.ccgp.gov.cn）；</w:t>
            </w:r>
            <w:r>
              <w:rPr>
                <w:rFonts w:hint="eastAsia" w:ascii="宋体" w:hAnsi="宋体" w:eastAsia="宋体" w:cs="宋体"/>
                <w:color w:val="000000"/>
                <w:sz w:val="24"/>
                <w:szCs w:val="24"/>
                <w:highlight w:val="none"/>
              </w:rPr>
            </w:r>
            <w:r/>
          </w:p>
          <w:p>
            <w:pPr>
              <w:pStyle w:val="840"/>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截止时点：投标截止时间以后、资格审查阶段采购人或采购代理机构的实际查询时间；</w:t>
            </w:r>
            <w:r>
              <w:rPr>
                <w:rFonts w:hint="eastAsia" w:ascii="宋体" w:hAnsi="宋体" w:eastAsia="宋体" w:cs="宋体"/>
                <w:color w:val="000000"/>
                <w:sz w:val="24"/>
                <w:szCs w:val="24"/>
                <w:highlight w:val="none"/>
              </w:rPr>
            </w:r>
            <w:r/>
          </w:p>
          <w:p>
            <w:pPr>
              <w:pStyle w:val="840"/>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highlight w:val="none"/>
              </w:rPr>
            </w:r>
            <w:r/>
          </w:p>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。联合体形式投标的，联合体成员存在不良信用记录，视同联合体存在不良信用记录。</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无须投标人提供，由采购人查询。</w:t>
            </w: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bidi="ar-SA"/>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中小企业声明函</w:t>
            </w:r>
            <w:r>
              <w:rPr>
                <w:rFonts w:hint="eastAsia" w:ascii="宋体" w:hAnsi="宋体" w:eastAsia="宋体" w:cs="宋体"/>
                <w:color w:val="000000"/>
                <w:sz w:val="24"/>
                <w:szCs w:val="24"/>
                <w:highlight w:val="none"/>
                <w:lang w:val="en-US" w:eastAsia="zh-CN" w:bidi="ar-SA"/>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color w:val="000000"/>
                <w:sz w:val="24"/>
                <w:szCs w:val="24"/>
                <w:highlight w:val="none"/>
              </w:rPr>
            </w:r>
            <w:r/>
          </w:p>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4"/>
                <w:szCs w:val="24"/>
                <w:highlight w:val="none"/>
              </w:rPr>
            </w:r>
            <w:r/>
          </w:p>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szCs w:val="24"/>
                <w:highlight w:val="none"/>
              </w:rPr>
            </w:r>
            <w:r/>
          </w:p>
          <w:p>
            <w:pPr>
              <w:pStyle w:val="840"/>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注2：残疾人福利性单位须按招标文件要求提供《残疾人福利性单位声明函》。</w:t>
            </w:r>
            <w:r>
              <w:rPr>
                <w:rFonts w:hint="eastAsia" w:ascii="宋体" w:hAnsi="宋体" w:eastAsia="宋体" w:cs="宋体"/>
                <w:color w:val="000000"/>
                <w:sz w:val="24"/>
                <w:szCs w:val="24"/>
                <w:highlight w:val="none"/>
                <w:lang w:val="en-US" w:eastAsia="zh-CN" w:bidi="ar-SA"/>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格式见《投标文件格式》</w:t>
            </w:r>
            <w:r>
              <w:rPr>
                <w:rFonts w:hint="eastAsia" w:ascii="宋体" w:hAnsi="宋体" w:eastAsia="宋体" w:cs="宋体"/>
                <w:color w:val="000000"/>
                <w:sz w:val="24"/>
                <w:szCs w:val="24"/>
                <w:highlight w:val="none"/>
                <w:lang w:val="en-US" w:eastAsia="zh-CN" w:bidi="ar-SA"/>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其它落实政府采购政策的资格要求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提供证明文件的电子件或电子证照</w:t>
            </w: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134"/>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是否接受联合体投标</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本项目不接受联合体投标时，投标人不得为联合体。</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0"/>
        </w:trPr>
        <w:tc>
          <w:tcPr>
            <w:tcW w:w="455" w:type="dxa"/>
            <w:vAlign w:val="center"/>
            <w:textDirection w:val="lrTb"/>
            <w:noWrap w:val="false"/>
          </w:tcPr>
          <w:p>
            <w:pPr>
              <w:pStyle w:val="840"/>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其他特定资格要求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如有，见第一章《采购邀请》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4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提供证明文件的电子件或电子证照</w:t>
            </w:r>
            <w:r>
              <w:rPr>
                <w:rFonts w:hint="eastAsia" w:ascii="宋体" w:hAnsi="宋体" w:eastAsia="宋体" w:cs="宋体"/>
                <w:color w:val="000000"/>
                <w:sz w:val="24"/>
                <w:szCs w:val="24"/>
                <w:highlight w:val="none"/>
              </w:rPr>
            </w:r>
            <w:r/>
          </w:p>
        </w:tc>
      </w:tr>
    </w:tbl>
    <w:p>
      <w:pPr>
        <w:pStyle w:val="840"/>
        <w:jc w:val="left"/>
        <w:widowControl/>
        <w:rPr>
          <w:rFonts w:ascii="宋体" w:hAnsi="宋体"/>
          <w:color w:val="000000"/>
          <w:sz w:val="24"/>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353825550"/>
      <w:r/>
      <w:bookmarkStart w:id="733" w:name="_Toc127161490"/>
      <w:r/>
      <w:bookmarkStart w:id="734" w:name="_Toc226965858"/>
      <w:r/>
      <w:bookmarkStart w:id="735" w:name="_Toc127151779"/>
      <w:r/>
      <w:bookmarkStart w:id="736" w:name="_Toc353873940"/>
      <w:r>
        <w:rPr>
          <w:rFonts w:ascii="宋体" w:hAnsi="宋体"/>
          <w:color w:val="000000"/>
          <w:sz w:val="24"/>
          <w:highlight w:val="none"/>
        </w:rPr>
        <w:br w:type="page" w:clear="all"/>
      </w:r>
      <w:r>
        <w:rPr>
          <w:rFonts w:ascii="宋体" w:hAnsi="宋体"/>
          <w:color w:val="000000"/>
          <w:sz w:val="24"/>
          <w:highlight w:val="none"/>
        </w:rPr>
      </w:r>
      <w:r/>
    </w:p>
    <w:p>
      <w:pPr>
        <w:pStyle w:val="840"/>
        <w:jc w:val="center"/>
        <w:spacing w:line="360" w:lineRule="auto"/>
        <w:rPr>
          <w:rFonts w:ascii="宋体" w:hAnsi="宋体"/>
          <w:b/>
          <w:color w:val="000000"/>
          <w:sz w:val="36"/>
          <w:szCs w:val="36"/>
          <w:highlight w:val="none"/>
        </w:rPr>
        <w:outlineLvl w:val="0"/>
      </w:pPr>
      <w:r/>
      <w:bookmarkStart w:id="737" w:name="_Toc8337"/>
      <w:r>
        <w:rPr>
          <w:rFonts w:ascii="宋体" w:hAnsi="宋体"/>
          <w:b/>
          <w:color w:val="000000"/>
          <w:sz w:val="36"/>
          <w:szCs w:val="36"/>
          <w:highlight w:val="none"/>
        </w:rPr>
        <w:t xml:space="preserve">第四章   </w:t>
      </w:r>
      <w:bookmarkEnd w:id="732"/>
      <w:r/>
      <w:bookmarkEnd w:id="733"/>
      <w:r/>
      <w:bookmarkEnd w:id="734"/>
      <w:r/>
      <w:bookmarkEnd w:id="735"/>
      <w:r/>
      <w:bookmarkEnd w:id="736"/>
      <w:r/>
      <w:bookmarkStart w:id="738" w:name="_Hlt164229061"/>
      <w:r/>
      <w:bookmarkEnd w:id="738"/>
      <w:r>
        <w:rPr>
          <w:rFonts w:ascii="宋体" w:hAnsi="宋体"/>
          <w:b/>
          <w:color w:val="000000"/>
          <w:sz w:val="36"/>
          <w:szCs w:val="36"/>
          <w:highlight w:val="none"/>
        </w:rPr>
        <w:t xml:space="preserve">评标程序、评标方法和评标标准</w:t>
      </w:r>
      <w:bookmarkEnd w:id="737"/>
      <w:r>
        <w:rPr>
          <w:rFonts w:ascii="宋体" w:hAnsi="宋体"/>
          <w:b/>
          <w:color w:val="000000"/>
          <w:sz w:val="36"/>
          <w:szCs w:val="36"/>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bookmarkStart w:id="739" w:name="_Toc164608655"/>
      <w:r/>
      <w:bookmarkStart w:id="740" w:name="_Toc150509292"/>
      <w:r/>
      <w:bookmarkStart w:id="741" w:name="_Toc195842906"/>
      <w:r/>
      <w:bookmarkStart w:id="742" w:name="_Toc265228379"/>
      <w:r/>
      <w:bookmarkStart w:id="743" w:name="_Toc151193639"/>
      <w:r/>
      <w:bookmarkStart w:id="744" w:name="_Toc305158809"/>
      <w:r/>
      <w:bookmarkStart w:id="745" w:name="_Toc151193711"/>
      <w:r/>
      <w:bookmarkStart w:id="746" w:name="_Toc142311043"/>
      <w:r/>
      <w:bookmarkStart w:id="747" w:name="_Toc164351635"/>
      <w:r/>
      <w:bookmarkStart w:id="748" w:name="_Toc226337237"/>
      <w:r/>
      <w:bookmarkStart w:id="749" w:name="_Toc305158883"/>
      <w:r/>
      <w:bookmarkStart w:id="750" w:name="_Toc127151742"/>
      <w:r/>
      <w:bookmarkStart w:id="751" w:name="_Toc151193783"/>
      <w:r/>
      <w:bookmarkStart w:id="752" w:name="_Toc164229382"/>
      <w:r/>
      <w:bookmarkStart w:id="753" w:name="_Toc149720834"/>
      <w:r/>
      <w:bookmarkStart w:id="754" w:name="_Toc264969231"/>
      <w:r/>
      <w:bookmarkStart w:id="755" w:name="_Toc164608810"/>
      <w:r/>
      <w:bookmarkStart w:id="756" w:name="_Toc150480779"/>
      <w:r/>
      <w:bookmarkStart w:id="757" w:name="_Toc150774746"/>
      <w:r/>
      <w:bookmarkStart w:id="758" w:name="_Toc226965814"/>
      <w:r/>
      <w:bookmarkStart w:id="759" w:name="_Toc226965731"/>
      <w:r/>
      <w:bookmarkStart w:id="760" w:name="_Toc151193855"/>
      <w:r/>
      <w:bookmarkStart w:id="761" w:name="_Toc151190168"/>
      <w:r/>
      <w:bookmarkStart w:id="762" w:name="_Toc164229236"/>
      <w:r/>
      <w:bookmarkStart w:id="763" w:name="_Toc127161455"/>
      <w:r/>
      <w:bookmarkStart w:id="764" w:name="_Toc150774641"/>
      <w:r/>
      <w:bookmarkStart w:id="765" w:name="_Toc226309785"/>
      <w:r/>
      <w:bookmarkStart w:id="766" w:name="_Toc151193929"/>
      <w:r/>
      <w:bookmarkStart w:id="767" w:name="_Toc127151541"/>
      <w:r/>
      <w:bookmarkStart w:id="768" w:name="_Toc353873665"/>
      <w:r/>
      <w:bookmarkStart w:id="769" w:name="_Toc127151555"/>
      <w:r/>
      <w:bookmarkStart w:id="770" w:name="_Toc305158823"/>
      <w:r/>
      <w:bookmarkStart w:id="771" w:name="_Toc305158897"/>
      <w:r/>
      <w:bookmarkStart w:id="772" w:name="_Toc264969245"/>
      <w:r/>
      <w:bookmarkStart w:id="773" w:name="_Toc226965828"/>
      <w:r/>
      <w:bookmarkStart w:id="774" w:name="_Toc265228393"/>
      <w:r/>
      <w:bookmarkStart w:id="775" w:name="_Toc353873935"/>
      <w:r/>
      <w:bookmarkStart w:id="776" w:name="_Toc353825545"/>
      <w:r/>
      <w:bookmarkStart w:id="777" w:name="_Toc142311057"/>
      <w:r/>
      <w:bookmarkStart w:id="778" w:name="_Toc150774760"/>
      <w:r/>
      <w:bookmarkStart w:id="779" w:name="_Toc150480793"/>
      <w:r/>
      <w:bookmarkStart w:id="780" w:name="_Toc226337251"/>
      <w:r/>
      <w:bookmarkStart w:id="781" w:name="_Toc195842920"/>
      <w:r>
        <w:rPr>
          <w:rFonts w:hint="eastAsia" w:ascii="宋体" w:hAnsi="宋体" w:cs="宋体"/>
          <w:b/>
          <w:bCs/>
          <w:color w:val="000000"/>
          <w:sz w:val="24"/>
          <w:highlight w:val="none"/>
        </w:rPr>
        <w:t xml:space="preserve">1 投标文件的符合性审查</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ind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493"/>
        <w:gridCol w:w="6827"/>
      </w:tblGrid>
      <w:tr>
        <w:trPr>
          <w:trHeight w:val="435"/>
        </w:trPr>
        <w:tc>
          <w:tcPr>
            <w:tcW w:w="370" w:type="dxa"/>
            <w:vAlign w:val="center"/>
            <w:textDirection w:val="lrTb"/>
            <w:noWrap w:val="false"/>
          </w:tcPr>
          <w:p>
            <w:pPr>
              <w:pStyle w:val="84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390" w:type="dxa"/>
            <w:vAlign w:val="center"/>
            <w:textDirection w:val="lrTb"/>
            <w:noWrap w:val="false"/>
          </w:tcPr>
          <w:p>
            <w:pPr>
              <w:pStyle w:val="84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法定代表人资格证明书、法人授权委托书、政府采购供应商信用承诺书和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投标函</w:t>
            </w:r>
            <w:r>
              <w:rPr>
                <w:rFonts w:hint="eastAsia" w:ascii="宋体" w:hAnsi="宋体" w:cs="宋体"/>
                <w:color w:val="000000"/>
                <w:sz w:val="24"/>
                <w:highlight w:val="none"/>
              </w:rPr>
              <w:t xml:space="preserve">、法定代表人资格证明书、法人授权委托书、政府采购供应商信用承诺书和供应商管理关系或控股关系信息情况表；</w:t>
            </w:r>
            <w:r>
              <w:rPr>
                <w:rFonts w:hint="eastAsia"/>
                <w:color w:val="000000"/>
                <w:sz w:val="24"/>
                <w:highlight w:val="none"/>
              </w:rPr>
              <w:t xml:space="preserve">（格式见《投标文件格式》）。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（由评委审查，无需供应商提供材料。）报价一览表投标</w:t>
            </w:r>
            <w:r>
              <w:rPr>
                <w:rFonts w:hint="eastAsia" w:ascii="宋体" w:hAnsi="宋体" w:cs="宋体"/>
                <w:color w:val="000000"/>
                <w:sz w:val="24"/>
                <w:highlight w:val="none"/>
              </w:rPr>
              <w:t xml:space="preserve">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出现可选择性或可调整的报价（采购文件另有规定的除外）</w:t>
            </w:r>
            <w:r>
              <w:rPr>
                <w:rFonts w:hint="eastAsia" w:ascii="宋体" w:hAnsi="宋体" w:cs="宋体"/>
                <w:color w:val="000000"/>
                <w:sz w:val="24"/>
                <w:highlight w:val="none"/>
              </w:rPr>
              <w:t xml:space="preserve">；（提供《报价一览表》，格式见《投标文件格式》）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③ 投标(响应)报价低于采购项目最高限价45%的，即投标(响应)报价&lt;采购项目最高限价×45%；</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④ 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（由评委审查，无需供应商提供材料。）不涉及报价修正，或投标文件报价出现前后不一致时，投标人对修正后的报价予以确认。</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（由评委审查，无需供应商提供材料。）按照招标文件要求签署、加盖公章的。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进口产品（如有）</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由评委审查，无需供应商提供材料。招标文件不接受进口产品投标的内容时，投标人所投产品均为非进口产品。</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本项目接受进口产品投标，投标人所投设备为进口产品的，应提供以下之一的证明材料：</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1、供应商为所投进口设备的授权经销（代理）商，必须提供制造（生产）商授权投标人的授权书或上级经销（代理）商授权投标人的授权书,并提供逐级经销（代理）商的证书复印件。</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2、供应商为本项目授权供应商，必须提供制造（生产）商授权投标人的授权书或授权经销（代理）商授权投标人的授权书,并提供逐级经销（代理）商的证书复印件。</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（由评委审查，无需供应商提供材料。）投标文件未将一个采购包中的内容拆开响应。</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投标文件中承诺的投标有效期满足采购文件中载明的投标有效期的；（详见附件投标函）</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标记为“实质性格式”的文件均按招标文件要求提供；（详见附件《投标文件格式》）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olor w:val="000000"/>
                <w:sz w:val="24"/>
                <w:highlight w:val="none"/>
              </w:rPr>
              <w:t xml:space="preserve">（如</w:t>
            </w:r>
            <w:r>
              <w:rPr>
                <w:rFonts w:ascii="宋体" w:hAnsi="宋体"/>
                <w:color w:val="000000"/>
                <w:sz w:val="24"/>
                <w:highlight w:val="none"/>
              </w:rPr>
              <w:t xml:space="preserve">第</w:t>
            </w:r>
            <w:r>
              <w:rPr>
                <w:rFonts w:hint="eastAsia" w:ascii="宋体" w:hAnsi="宋体"/>
                <w:color w:val="000000"/>
                <w:sz w:val="24"/>
                <w:highlight w:val="none"/>
              </w:rPr>
              <w:t xml:space="preserve">五</w:t>
            </w:r>
            <w:r>
              <w:rPr>
                <w:rFonts w:ascii="宋体" w:hAnsi="宋体"/>
                <w:color w:val="000000"/>
                <w:sz w:val="24"/>
                <w:highlight w:val="none"/>
              </w:rPr>
              <w:t xml:space="preserve">章《采购需求》中</w:t>
            </w:r>
            <w:r>
              <w:rPr>
                <w:rFonts w:hint="eastAsia" w:ascii="宋体" w:hAnsi="宋体"/>
                <w:color w:val="000000"/>
                <w:sz w:val="24"/>
                <w:highlight w:val="none"/>
              </w:rPr>
              <w:t xml:space="preserve">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的，按照序号逐项提供相关证明材料；如</w:t>
            </w:r>
            <w:r>
              <w:rPr>
                <w:rFonts w:ascii="宋体" w:hAnsi="宋体"/>
                <w:color w:val="000000"/>
                <w:sz w:val="24"/>
                <w:highlight w:val="none"/>
              </w:rPr>
              <w:t xml:space="preserve">第五章《采购需求》中</w:t>
            </w:r>
            <w:r>
              <w:rPr>
                <w:rFonts w:hint="eastAsia" w:ascii="宋体" w:hAnsi="宋体"/>
                <w:color w:val="000000"/>
                <w:sz w:val="24"/>
                <w:highlight w:val="none"/>
              </w:rPr>
              <w:t xml:space="preserve">没有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的，则无需供应商提供材料。）</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国家有关部门对投标人（供应商）的响应产品有强制性规定或要求的（如相应技术、安全、节能和环保等），如有下列情形的，投标人（供应商）的响应产品应符合相应规定或要求，并提供证明文件电子件：</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无需供应商提供材料。）投标人</w:t>
            </w:r>
            <w:r>
              <w:rPr>
                <w:rFonts w:hint="eastAsia" w:ascii="宋体" w:hAnsi="宋体" w:cs="宋体"/>
                <w:color w:val="000000"/>
                <w:sz w:val="24"/>
                <w:highlight w:val="none"/>
              </w:rPr>
              <w:t xml:space="preserve">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3252"/>
        </w:trPr>
        <w:tc>
          <w:tcPr>
            <w:tcW w:w="370" w:type="dxa"/>
            <w:vAlign w:val="center"/>
            <w:textDirection w:val="lrTb"/>
            <w:noWrap w:val="false"/>
          </w:tcPr>
          <w:p>
            <w:pPr>
              <w:pStyle w:val="840"/>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color w:val="000000"/>
                <w:sz w:val="24"/>
                <w:highlight w:val="none"/>
              </w:rPr>
            </w:r>
            <w:r/>
          </w:p>
        </w:tc>
      </w:tr>
      <w:tr>
        <w:trPr>
          <w:trHeight w:val="750"/>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w:t>
            </w: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238" w:type="dxa"/>
            <w:vAlign w:val="center"/>
            <w:textDirection w:val="lrTb"/>
            <w:noWrap w:val="false"/>
          </w:tcPr>
          <w:p>
            <w:pPr>
              <w:pStyle w:val="84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390" w:type="dxa"/>
            <w:vAlign w:val="center"/>
            <w:textDirection w:val="lrTb"/>
            <w:noWrap w:val="false"/>
          </w:tcPr>
          <w:p>
            <w:pPr>
              <w:pStyle w:val="840"/>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无需供应商提供材料。）投标人</w:t>
            </w:r>
            <w:r>
              <w:rPr>
                <w:rFonts w:hint="eastAsia" w:ascii="宋体" w:hAnsi="宋体" w:cs="宋体"/>
                <w:color w:val="000000"/>
                <w:sz w:val="24"/>
                <w:highlight w:val="none"/>
              </w:rPr>
              <w:t xml:space="preserve">、投标文件不存在不符合法律、法规和招标文件规定的其他无效情形。</w:t>
            </w:r>
            <w:r>
              <w:rPr>
                <w:rFonts w:hint="eastAsia" w:ascii="宋体" w:hAnsi="宋体" w:cs="宋体"/>
                <w:color w:val="000000"/>
                <w:sz w:val="24"/>
                <w:highlight w:val="none"/>
              </w:rPr>
            </w:r>
            <w:r/>
          </w:p>
        </w:tc>
      </w:tr>
    </w:tbl>
    <w:p>
      <w:pPr>
        <w:pStyle w:val="840"/>
        <w:ind w:firstLine="482"/>
        <w:spacing w:line="360" w:lineRule="auto"/>
        <w:tabs>
          <w:tab w:val="left" w:pos="360" w:leader="none"/>
        </w:tabs>
        <w:rPr>
          <w:rFonts w:ascii="宋体" w:hAnsi="宋体"/>
          <w:b/>
          <w:bCs/>
          <w:color w:val="000000"/>
          <w:sz w:val="24"/>
          <w:highlight w:val="none"/>
        </w:rPr>
      </w:pPr>
      <w:r>
        <w:rPr>
          <w:rFonts w:hint="eastAsia" w:ascii="宋体" w:hAnsi="宋体"/>
          <w:b/>
          <w:bCs/>
          <w:color w:val="000000"/>
          <w:sz w:val="24"/>
          <w:highlight w:val="none"/>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2.4投标文件报价出现前后不一致的，按照下列规定修正：</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2.4.1招标文件对于报价修正是否另有规定：</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□有，具体规定为：______________</w:t>
      </w:r>
      <w:r>
        <w:rPr>
          <w:rFonts w:hint="eastAsia" w:ascii="宋体" w:hAnsi="宋体" w:cs="宋体"/>
          <w:color w:val="000000"/>
          <w:sz w:val="24"/>
          <w:highlight w:val="none"/>
          <w:u w:val="single"/>
        </w:rPr>
      </w:r>
      <w:r/>
    </w:p>
    <w:p>
      <w:pPr>
        <w:pStyle w:val="840"/>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40"/>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2.4.2单独递交的开标一览表（报价表）与投标文件中开标一览表（报价表）内容不一致的，以单独递交的开标一览表（报价表）为准；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40"/>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2.4.3投标文件中开标一览表（报价表）内容与投标文件中相应内容不一致的，以开标一览表（报价表）为准；</w:t>
      </w:r>
      <w:r>
        <w:rPr>
          <w:rFonts w:hint="eastAsia" w:ascii="宋体" w:hAnsi="宋体" w:cs="宋体"/>
          <w:color w:val="000000"/>
          <w:sz w:val="24"/>
          <w:highlight w:val="none"/>
        </w:rPr>
      </w:r>
      <w:r/>
    </w:p>
    <w:p>
      <w:pPr>
        <w:pStyle w:val="840"/>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2.4.4大写金额和小写金额不一致的，以大写金额为准；</w:t>
      </w:r>
      <w:r>
        <w:rPr>
          <w:rFonts w:hint="eastAsia" w:ascii="宋体" w:hAnsi="宋体" w:cs="宋体"/>
          <w:color w:val="000000"/>
          <w:sz w:val="24"/>
          <w:highlight w:val="none"/>
        </w:rPr>
      </w:r>
      <w:r/>
    </w:p>
    <w:p>
      <w:pPr>
        <w:pStyle w:val="840"/>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2.4.5单价金额小数点或者百分比有明显错位的，以开标一览表的总价为准，并修改单价；</w:t>
      </w:r>
      <w:r>
        <w:rPr>
          <w:rFonts w:hint="eastAsia" w:ascii="宋体" w:hAnsi="宋体" w:cs="宋体"/>
          <w:color w:val="000000"/>
          <w:sz w:val="24"/>
          <w:highlight w:val="none"/>
        </w:rPr>
      </w:r>
      <w:r/>
    </w:p>
    <w:p>
      <w:pPr>
        <w:pStyle w:val="840"/>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2.4.6总价金额与按单价汇总金额不一致的，以单价金额计算结果为准。</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2.4.8其他：</w:t>
      </w:r>
      <w:r>
        <w:rPr>
          <w:rFonts w:hint="eastAsia" w:ascii="宋体" w:hAnsi="宋体" w:cs="宋体"/>
          <w:b/>
          <w:bCs/>
          <w:color w:val="000000"/>
          <w:sz w:val="24"/>
          <w:highlight w:val="none"/>
        </w:rPr>
        <w:t xml:space="preserve">评审过程中出现下列情形之一的，评审委员会应当启动异常低价投标（ 响应）审查程序：</w:t>
      </w:r>
      <w:r>
        <w:rPr>
          <w:rFonts w:hint="eastAsia" w:ascii="宋体" w:hAnsi="宋体" w:cs="宋体"/>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① 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③ 投标(响应)报价低于采购项目最高限价45%的，即投标(响应)报价&lt;采购项目最高限价×45%；</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④ 评审委员会基于专业判断，认为供应商报价过低，有可能影响产品质量或者不能诚信履约的其他情形。</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 w:val="24"/>
          <w:highlight w:val="none"/>
        </w:rPr>
      </w:r>
      <w:r/>
    </w:p>
    <w:p>
      <w:pPr>
        <w:pStyle w:val="8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2.5.1对于未预留份额专门面向中小企业采购的采购项目，以及预留份额项目中的非预留部分采购包</w:t>
      </w:r>
      <w:r>
        <w:rPr>
          <w:rFonts w:hint="eastAsia" w:ascii="宋体" w:hAnsi="宋体" w:cs="宋体"/>
          <w:color w:val="000000"/>
          <w:sz w:val="24"/>
          <w:highlight w:val="none"/>
        </w:rPr>
        <w:t xml:space="preserve">，对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b/>
          <w:bCs/>
          <w:color w:val="000000"/>
          <w:sz w:val="24"/>
          <w:highlight w:val="none"/>
          <w:u w:val="single"/>
        </w:rPr>
        <w:t xml:space="preserve">20</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的扣除，用</w:t>
      </w:r>
      <w:r>
        <w:rPr>
          <w:rFonts w:hint="eastAsia" w:ascii="宋体" w:hAnsi="宋体" w:cs="宋体"/>
          <w:color w:val="000000"/>
          <w:sz w:val="24"/>
          <w:highlight w:val="none"/>
        </w:rPr>
        <w:t xml:space="preserve">扣除后的价格参加评审。</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2.5.4价格扣除比例对小型企业和微型企业同等对待，不作区分。</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2.5.5中小企业参加政府采购活动，应当按照招标文件给定的格式出具《中小企业声明函》，否则不得享受相关中小企业扶持政策。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2.5.7残疾人福利性单位按招标文件要求提供了《残疾人福利性单位声明函》（见附件）的，视同小微企业。</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 投标文件的比较和评价</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 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评标方法和评标标准</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3.2.1本项目采用的评标方法为：</w:t>
      </w:r>
      <w:r>
        <w:rPr>
          <w:rFonts w:hint="eastAsia" w:ascii="宋体" w:hAnsi="宋体" w:cs="宋体"/>
          <w:color w:val="000000"/>
          <w:sz w:val="24"/>
          <w:highlight w:val="none"/>
        </w:rPr>
      </w:r>
      <w:r/>
    </w:p>
    <w:p>
      <w:pPr>
        <w:pStyle w:val="840"/>
        <w:ind w:firstLine="480"/>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40"/>
        <w:ind w:firstLine="480"/>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40"/>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□其他方式，具体要求：_____</w:t>
      </w:r>
      <w:r>
        <w:rPr>
          <w:rFonts w:hint="eastAsia" w:ascii="宋体" w:hAnsi="宋体" w:cs="宋体"/>
          <w:color w:val="000000"/>
          <w:sz w:val="24"/>
          <w:highlight w:val="none"/>
          <w:u w:val="singl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3.2.3非政府强制采购的节能产品或环境标志产品，依据品目清单和认证证书实施政府优先采购。优先采购的具体规定（如涉及）_____。</w:t>
      </w:r>
      <w:r>
        <w:rPr>
          <w:rFonts w:hint="eastAsia" w:ascii="宋体" w:hAnsi="宋体" w:cs="宋体"/>
          <w:color w:val="000000"/>
          <w:sz w:val="24"/>
          <w:highlight w:val="none"/>
        </w:rPr>
      </w:r>
      <w:r/>
    </w:p>
    <w:p>
      <w:pPr>
        <w:pStyle w:val="840"/>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3.2.4关于无线局域网认证产品政府采购清单中的产品，优先采购的具体规定（如涉及）_____。</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 确定</w:t>
      </w:r>
      <w:bookmarkStart w:id="783" w:name="_Toc520356170"/>
      <w:r/>
      <w:bookmarkStart w:id="784" w:name="_Toc164351640"/>
      <w:r/>
      <w:bookmarkStart w:id="785" w:name="_Toc264969236"/>
      <w:r/>
      <w:bookmarkStart w:id="786" w:name="_Toc151193860"/>
      <w:r/>
      <w:bookmarkStart w:id="787" w:name="_Toc149720839"/>
      <w:r/>
      <w:bookmarkStart w:id="788" w:name="_Toc151190173"/>
      <w:r/>
      <w:bookmarkStart w:id="789" w:name="_Toc164608815"/>
      <w:r/>
      <w:bookmarkStart w:id="790" w:name="_Toc226309790"/>
      <w:r/>
      <w:bookmarkStart w:id="791" w:name="_Toc195842911"/>
      <w:r/>
      <w:bookmarkStart w:id="792" w:name="_Toc226337242"/>
      <w:r/>
      <w:bookmarkStart w:id="793" w:name="_Toc164229241"/>
      <w:r/>
      <w:bookmarkStart w:id="794" w:name="_Toc151193788"/>
      <w:r/>
      <w:bookmarkStart w:id="795" w:name="_Toc226965736"/>
      <w:r/>
      <w:bookmarkStart w:id="796" w:name="_Toc150480784"/>
      <w:r/>
      <w:bookmarkStart w:id="797" w:name="_Toc226965819"/>
      <w:r/>
      <w:bookmarkStart w:id="798" w:name="_Toc127161460"/>
      <w:r/>
      <w:bookmarkStart w:id="799" w:name="_Toc127151747"/>
      <w:r/>
      <w:bookmarkStart w:id="800" w:name="_Toc151193716"/>
      <w:r/>
      <w:bookmarkStart w:id="801" w:name="_Toc151193644"/>
      <w:r/>
      <w:bookmarkStart w:id="802" w:name="_Toc305158888"/>
      <w:r/>
      <w:bookmarkStart w:id="803" w:name="_Ref467307010"/>
      <w:r/>
      <w:bookmarkStart w:id="804" w:name="_Toc151193934"/>
      <w:r/>
      <w:bookmarkStart w:id="805" w:name="_Toc305158814"/>
      <w:r/>
      <w:bookmarkStart w:id="806" w:name="_Toc265228384"/>
      <w:r/>
      <w:bookmarkStart w:id="807" w:name="_Toc150509297"/>
      <w:r/>
      <w:bookmarkStart w:id="808" w:name="_Toc142311048"/>
      <w:r/>
      <w:bookmarkStart w:id="809" w:name="_Toc164229387"/>
      <w:r/>
      <w:bookmarkStart w:id="810" w:name="_Toc127151546"/>
      <w:r/>
      <w:bookmarkStart w:id="811" w:name="_Toc150774646"/>
      <w:r/>
      <w:bookmarkStart w:id="812" w:name="_Toc150774751"/>
      <w:r/>
      <w:bookmarkStart w:id="813" w:name="_Toc164608660"/>
      <w:r>
        <w:rPr>
          <w:rFonts w:hint="eastAsia" w:ascii="宋体" w:hAnsi="宋体" w:cs="宋体"/>
          <w:b/>
          <w:bCs/>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4.1采用综合评分法时，提供相</w:t>
      </w:r>
      <w:r>
        <w:rPr>
          <w:rFonts w:hint="eastAsia" w:ascii="宋体" w:hAnsi="宋体" w:cs="宋体"/>
          <w:color w:val="000000"/>
          <w:sz w:val="24"/>
          <w:highlight w:val="none"/>
        </w:rPr>
        <w:t xml:space="preserve">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879"/>
        <w:ind w:firstLine="480"/>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879"/>
        <w:ind w:firstLine="480"/>
        <w:spacing w:line="360" w:lineRule="auto"/>
        <w:tabs>
          <w:tab w:val="left" w:pos="900" w:leader="none"/>
          <w:tab w:val="left" w:pos="2127" w:leader="none"/>
        </w:tabs>
        <w:rPr>
          <w:rFonts w:hAnsi="宋体" w:eastAsia="宋体" w:cs="宋体"/>
          <w:color w:val="000000"/>
          <w:sz w:val="24"/>
          <w:szCs w:val="24"/>
          <w:highlight w:val="none"/>
          <w:u w:val="single"/>
          <w:lang w:val="en-US" w:eastAsia="zh-CN"/>
        </w:rPr>
      </w:pPr>
      <w:r>
        <w:rPr>
          <w:rFonts w:hAnsi="宋体" w:cs="宋体"/>
          <w:color w:val="000000"/>
          <w:sz w:val="24"/>
          <w:szCs w:val="24"/>
          <w:highlight w:val="none"/>
        </w:rPr>
        <w:t xml:space="preserve">□其他方式，具体要求：</w:t>
      </w:r>
      <w:r>
        <w:rPr>
          <w:rFonts w:hint="eastAsia" w:hAnsi="宋体" w:cs="宋体"/>
          <w:color w:val="000000"/>
          <w:sz w:val="24"/>
          <w:szCs w:val="24"/>
          <w:highlight w:val="none"/>
          <w:u w:val="single"/>
          <w:lang w:val="en-US" w:eastAsia="zh-CN"/>
        </w:rPr>
        <w:t xml:space="preserve">            </w:t>
      </w:r>
      <w:r>
        <w:rPr>
          <w:rFonts w:hAnsi="宋体" w:eastAsia="宋体" w:cs="宋体"/>
          <w:color w:val="000000"/>
          <w:sz w:val="24"/>
          <w:szCs w:val="24"/>
          <w:highlight w:val="none"/>
          <w:u w:val="single"/>
          <w:lang w:val="en-US" w:eastAsia="zh-CN"/>
        </w:rPr>
      </w:r>
      <w:r/>
    </w:p>
    <w:p>
      <w:pPr>
        <w:pStyle w:val="879"/>
        <w:ind w:firstLine="480"/>
        <w:spacing w:line="360" w:lineRule="auto"/>
        <w:tabs>
          <w:tab w:val="left" w:pos="900" w:leader="none"/>
          <w:tab w:val="left" w:pos="2127" w:leader="none"/>
        </w:tabs>
        <w:rPr>
          <w:rFonts w:hAnsi="宋体" w:cs="宋体"/>
          <w:color w:val="000000"/>
          <w:sz w:val="24"/>
          <w:highlight w:val="none"/>
        </w:rPr>
      </w:pPr>
      <w:r>
        <w:rPr>
          <w:rFonts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4.3评标委员会要对评分汇总情况进行复核，特别是对排名第一的、报价最低的、投标或响应文件被认定为无效的情形进行重点复核。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840"/>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4.4评标委员会将根据各投标人的评标排序，依次推荐本项目（各采购包）的中标候选人，起草并签署评标报告。本项目（各采购包）评标委员会共（各）推荐不少于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名中标候选人。</w:t>
      </w:r>
      <w:r>
        <w:rPr>
          <w:rFonts w:hint="eastAsia" w:ascii="宋体" w:hAnsi="宋体" w:cs="宋体"/>
          <w:color w:val="000000"/>
          <w:sz w:val="24"/>
          <w:highlight w:val="none"/>
        </w:rPr>
      </w:r>
      <w:r/>
    </w:p>
    <w:p>
      <w:pPr>
        <w:pStyle w:val="84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 报告违法行为</w:t>
      </w:r>
      <w:r>
        <w:rPr>
          <w:rFonts w:hint="eastAsia" w:ascii="宋体" w:hAnsi="宋体" w:cs="宋体"/>
          <w:b/>
          <w:bCs/>
          <w:color w:val="000000"/>
          <w:sz w:val="24"/>
          <w:highlight w:val="none"/>
        </w:rPr>
      </w:r>
      <w:r/>
    </w:p>
    <w:p>
      <w:pPr>
        <w:pStyle w:val="840"/>
        <w:numPr>
          <w:ilvl w:val="1"/>
          <w:numId w:val="0"/>
        </w:numPr>
        <w:ind w:firstLine="480"/>
        <w:spacing w:line="360" w:lineRule="auto"/>
        <w:tabs>
          <w:tab w:val="left" w:pos="1080" w:leader="none"/>
        </w:tabs>
        <w:rPr>
          <w:rFonts w:ascii="宋体" w:hAnsi="宋体"/>
          <w:color w:val="000000"/>
          <w:sz w:val="24"/>
          <w:highlight w:val="none"/>
        </w:rPr>
      </w:pPr>
      <w:r>
        <w:rPr>
          <w:rFonts w:hint="eastAsia" w:ascii="宋体" w:hAnsi="宋体" w:cs="宋体"/>
          <w:color w:val="000000"/>
          <w:sz w:val="24"/>
          <w:highlight w:val="none"/>
        </w:rPr>
        <w:t xml:space="preserve">5.1评标委员会在评标过程中发现投标人有行贿、提供虚假材料或者串通等违法行为时，有向采购人、采购代理机构或者有关部门报告的职责。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840"/>
        <w:jc w:val="left"/>
        <w:widowControl/>
        <w:rPr>
          <w:rFonts w:ascii="宋体" w:hAnsi="宋体"/>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二、评标标准</w:t>
      </w:r>
      <w:r>
        <w:rPr>
          <w:rFonts w:ascii="宋体" w:hAnsi="宋体"/>
          <w:color w:val="000000"/>
          <w:sz w:val="24"/>
          <w:highlight w:val="none"/>
        </w:rPr>
      </w:r>
      <w:r/>
    </w:p>
    <w:tbl>
      <w:tblPr>
        <w:tblStyle w:val="1088"/>
        <w:tblW w:w="93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1"/>
        <w:gridCol w:w="1150"/>
        <w:gridCol w:w="4755"/>
        <w:gridCol w:w="614"/>
        <w:gridCol w:w="2109"/>
        <w:gridCol w:w="21"/>
      </w:tblGrid>
      <w:tr>
        <w:trPr>
          <w:trHeight w:val="644"/>
        </w:trPr>
        <w:tc>
          <w:tcPr>
            <w:tcW w:w="741" w:type="dxa"/>
            <w:vAlign w:val="center"/>
            <w:textDirection w:val="lrTb"/>
            <w:noWrap w:val="false"/>
          </w:tcPr>
          <w:p>
            <w:pPr>
              <w:pStyle w:val="84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评分因素</w:t>
            </w:r>
            <w:r>
              <w:rPr>
                <w:rFonts w:ascii="宋体" w:hAnsi="宋体" w:eastAsia="宋体" w:cs="宋体"/>
                <w:color w:val="000000"/>
                <w:sz w:val="24"/>
                <w:szCs w:val="24"/>
                <w:highlight w:val="none"/>
              </w:rPr>
            </w:r>
            <w:r/>
          </w:p>
        </w:tc>
        <w:tc>
          <w:tcPr>
            <w:tcW w:w="4755" w:type="dxa"/>
            <w:vAlign w:val="center"/>
            <w:textDirection w:val="lrTb"/>
            <w:noWrap w:val="false"/>
          </w:tcPr>
          <w:p>
            <w:pPr>
              <w:pStyle w:val="840"/>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评分标准</w:t>
            </w:r>
            <w:r>
              <w:rPr>
                <w:rFonts w:ascii="宋体" w:hAnsi="宋体" w:eastAsia="宋体" w:cs="宋体"/>
                <w:color w:val="000000"/>
                <w:sz w:val="24"/>
                <w:szCs w:val="24"/>
                <w:highlight w:val="none"/>
              </w:rPr>
            </w:r>
            <w:r/>
          </w:p>
        </w:tc>
        <w:tc>
          <w:tcPr>
            <w:tcW w:w="614" w:type="dxa"/>
            <w:vAlign w:val="center"/>
            <w:textDirection w:val="lrTb"/>
            <w:noWrap w:val="false"/>
          </w:tcPr>
          <w:p>
            <w:pPr>
              <w:pStyle w:val="840"/>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分值</w:t>
            </w:r>
            <w:r>
              <w:rPr>
                <w:rFonts w:ascii="宋体" w:hAnsi="宋体" w:eastAsia="宋体" w:cs="宋体"/>
                <w:color w:val="000000"/>
                <w:sz w:val="24"/>
                <w:szCs w:val="24"/>
                <w:highlight w:val="none"/>
              </w:rPr>
            </w:r>
            <w:r/>
          </w:p>
        </w:tc>
        <w:tc>
          <w:tcPr>
            <w:gridSpan w:val="2"/>
            <w:tcW w:w="2130" w:type="dxa"/>
            <w:vAlign w:val="center"/>
            <w:textDirection w:val="lrTb"/>
            <w:noWrap w:val="false"/>
          </w:tcPr>
          <w:p>
            <w:pPr>
              <w:pStyle w:val="840"/>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评审材料</w:t>
            </w:r>
            <w:r>
              <w:rPr>
                <w:rFonts w:ascii="宋体" w:hAnsi="宋体" w:eastAsia="宋体" w:cs="宋体"/>
                <w:color w:val="000000"/>
                <w:sz w:val="24"/>
                <w:szCs w:val="24"/>
                <w:highlight w:val="none"/>
              </w:rPr>
            </w:r>
            <w:r/>
          </w:p>
        </w:tc>
      </w:tr>
      <w:tr>
        <w:trPr>
          <w:trHeight w:val="429"/>
        </w:trPr>
        <w:tc>
          <w:tcPr>
            <w:gridSpan w:val="6"/>
            <w:tcW w:w="9390" w:type="dxa"/>
            <w:vAlign w:val="top"/>
            <w:textDirection w:val="lrTb"/>
            <w:noWrap w:val="false"/>
          </w:tcPr>
          <w:p>
            <w:pPr>
              <w:pStyle w:val="840"/>
              <w:ind w:left="94"/>
              <w:spacing w:before="107" w:line="218" w:lineRule="auto"/>
              <w:rPr>
                <w:rFonts w:ascii="宋体" w:hAnsi="宋体" w:eastAsia="宋体" w:cs="宋体"/>
                <w:color w:val="000000"/>
                <w:sz w:val="24"/>
                <w:szCs w:val="24"/>
                <w:highlight w:val="none"/>
                <w:lang w:val="en-US" w:eastAsia="zh-CN"/>
              </w:rPr>
            </w:pPr>
            <w:r>
              <w:rPr>
                <w:rFonts w:ascii="宋体" w:hAnsi="宋体" w:eastAsia="宋体" w:cs="宋体"/>
                <w:b/>
                <w:bCs/>
                <w:color w:val="000000"/>
                <w:sz w:val="24"/>
                <w:szCs w:val="24"/>
                <w:highlight w:val="none"/>
              </w:rPr>
              <w:t xml:space="preserve">一、报价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r>
      <w:tr>
        <w:trPr>
          <w:trHeight w:val="1248"/>
        </w:trPr>
        <w:tc>
          <w:tcPr>
            <w:tcW w:w="741" w:type="dxa"/>
            <w:vAlign w:val="center"/>
            <w:textDirection w:val="lrTb"/>
            <w:noWrap w:val="false"/>
          </w:tcPr>
          <w:p>
            <w:pPr>
              <w:pStyle w:val="840"/>
              <w:ind w:righ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3"/>
                <w:sz w:val="24"/>
                <w:szCs w:val="24"/>
                <w:highlight w:val="none"/>
              </w:rPr>
              <w:t xml:space="preserve">价格分</w:t>
            </w:r>
            <w:r>
              <w:rPr>
                <w:rFonts w:ascii="宋体" w:hAnsi="宋体" w:eastAsia="宋体" w:cs="宋体"/>
                <w:color w:val="000000"/>
                <w:sz w:val="24"/>
                <w:szCs w:val="24"/>
                <w:highlight w:val="none"/>
              </w:rPr>
            </w:r>
            <w:r/>
          </w:p>
        </w:tc>
        <w:tc>
          <w:tcPr>
            <w:tcW w:w="4755" w:type="dxa"/>
            <w:vAlign w:val="top"/>
            <w:textDirection w:val="lrTb"/>
            <w:noWrap w:val="false"/>
          </w:tcPr>
          <w:p>
            <w:pPr>
              <w:pStyle w:val="840"/>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采用低价优先法计算，即满足</w:t>
            </w:r>
            <w:r>
              <w:rPr>
                <w:rFonts w:hint="eastAsia" w:ascii="宋体" w:hAnsi="宋体" w:eastAsia="宋体" w:cs="宋体"/>
                <w:color w:val="000000"/>
                <w:spacing w:val="-1"/>
                <w:sz w:val="24"/>
                <w:szCs w:val="24"/>
                <w:highlight w:val="none"/>
                <w:lang w:eastAsia="zh-CN"/>
              </w:rPr>
              <w:t xml:space="preserve">招标</w:t>
            </w:r>
            <w:r>
              <w:rPr>
                <w:rFonts w:hint="eastAsia" w:ascii="宋体" w:hAnsi="宋体" w:eastAsia="宋体" w:cs="宋体"/>
                <w:color w:val="000000"/>
                <w:spacing w:val="-1"/>
                <w:sz w:val="24"/>
                <w:szCs w:val="24"/>
                <w:highlight w:val="none"/>
              </w:rPr>
              <w:t xml:space="preserve">文件要求且最终报价最低的报价为评</w:t>
            </w:r>
            <w:r>
              <w:rPr>
                <w:rFonts w:hint="eastAsia" w:ascii="宋体" w:hAnsi="宋体" w:eastAsia="宋体" w:cs="宋体"/>
                <w:color w:val="000000"/>
                <w:spacing w:val="-1"/>
                <w:sz w:val="24"/>
                <w:szCs w:val="24"/>
                <w:highlight w:val="none"/>
                <w:lang w:eastAsia="zh-CN"/>
              </w:rPr>
              <w:t xml:space="preserve">标</w:t>
            </w:r>
            <w:r>
              <w:rPr>
                <w:rFonts w:hint="eastAsia" w:ascii="宋体" w:hAnsi="宋体" w:eastAsia="宋体" w:cs="宋体"/>
                <w:color w:val="000000"/>
                <w:spacing w:val="-1"/>
                <w:sz w:val="24"/>
                <w:szCs w:val="24"/>
                <w:highlight w:val="none"/>
              </w:rPr>
              <w:t xml:space="preserve">基准价，其价格分为满分</w:t>
            </w:r>
            <w:r>
              <w:rPr>
                <w:rFonts w:hint="eastAsia" w:ascii="宋体" w:hAnsi="宋体" w:eastAsia="宋体" w:cs="宋体"/>
                <w:color w:val="000000"/>
                <w:spacing w:val="-1"/>
                <w:sz w:val="24"/>
                <w:szCs w:val="24"/>
                <w:highlight w:val="none"/>
                <w:lang w:val="en-US" w:eastAsia="zh-CN"/>
              </w:rPr>
              <w:t xml:space="preserve">10</w:t>
            </w:r>
            <w:r>
              <w:rPr>
                <w:rFonts w:hint="eastAsia" w:ascii="宋体" w:hAnsi="宋体" w:eastAsia="宋体" w:cs="宋体"/>
                <w:color w:val="000000"/>
                <w:spacing w:val="-1"/>
                <w:sz w:val="24"/>
                <w:szCs w:val="24"/>
                <w:highlight w:val="none"/>
              </w:rPr>
              <w:t xml:space="preserve">分。其他供应商的价格分统一按照下列公式计算：报价得分=（评</w:t>
            </w:r>
            <w:r>
              <w:rPr>
                <w:rFonts w:hint="eastAsia" w:ascii="宋体" w:hAnsi="宋体" w:eastAsia="宋体" w:cs="宋体"/>
                <w:color w:val="000000"/>
                <w:spacing w:val="-1"/>
                <w:sz w:val="24"/>
                <w:szCs w:val="24"/>
                <w:highlight w:val="none"/>
                <w:lang w:eastAsia="zh-CN"/>
              </w:rPr>
              <w:t xml:space="preserve">标</w:t>
            </w:r>
            <w:r>
              <w:rPr>
                <w:rFonts w:hint="eastAsia" w:ascii="宋体" w:hAnsi="宋体" w:eastAsia="宋体" w:cs="宋体"/>
                <w:color w:val="000000"/>
                <w:spacing w:val="-1"/>
                <w:sz w:val="24"/>
                <w:szCs w:val="24"/>
                <w:highlight w:val="none"/>
              </w:rPr>
              <w:t xml:space="preserve">基准价／最终报价）×</w:t>
            </w:r>
            <w:r>
              <w:rPr>
                <w:rFonts w:hint="eastAsia" w:ascii="宋体" w:hAnsi="宋体" w:eastAsia="宋体" w:cs="宋体"/>
                <w:color w:val="000000"/>
                <w:spacing w:val="-1"/>
                <w:sz w:val="24"/>
                <w:szCs w:val="24"/>
                <w:highlight w:val="none"/>
                <w:lang w:val="en-US" w:eastAsia="zh-CN"/>
              </w:rPr>
              <w:t xml:space="preserve">10</w:t>
            </w:r>
            <w:r>
              <w:rPr>
                <w:rFonts w:hint="eastAsia" w:ascii="宋体" w:hAnsi="宋体" w:eastAsia="宋体" w:cs="宋体"/>
                <w:color w:val="000000"/>
                <w:spacing w:val="-1"/>
                <w:sz w:val="24"/>
                <w:szCs w:val="24"/>
                <w:highlight w:val="none"/>
              </w:rPr>
              <w:t xml:space="preserve">%×100。</w:t>
            </w:r>
            <w:r>
              <w:rPr>
                <w:rFonts w:ascii="宋体" w:hAnsi="宋体" w:eastAsia="宋体" w:cs="宋体"/>
                <w:color w:val="000000"/>
                <w:sz w:val="24"/>
                <w:szCs w:val="24"/>
                <w:highlight w:val="none"/>
              </w:rPr>
            </w:r>
            <w:r/>
          </w:p>
        </w:tc>
        <w:tc>
          <w:tcPr>
            <w:tcW w:w="614" w:type="dxa"/>
            <w:vAlign w:val="center"/>
            <w:textDirection w:val="lrTb"/>
            <w:noWrap w:val="false"/>
          </w:tcPr>
          <w:p>
            <w:pPr>
              <w:pStyle w:val="840"/>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4"/>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gridSpan w:val="2"/>
            <w:tcW w:w="2130" w:type="dxa"/>
            <w:vAlign w:val="top"/>
            <w:textDirection w:val="lrTb"/>
            <w:noWrap w:val="false"/>
          </w:tcPr>
          <w:p>
            <w:pPr>
              <w:pStyle w:val="1097"/>
              <w:ind w:left="0" w:right="0" w:firstLine="0"/>
              <w:jc w:val="both"/>
              <w:keepLines w:val="0"/>
              <w:keepNext w:val="0"/>
              <w:pageBreakBefore w:val="0"/>
              <w:spacing w:line="240" w:lineRule="auto"/>
              <w:widowControl w:val="off"/>
              <w:rPr>
                <w:color w:val="000000"/>
                <w:sz w:val="24"/>
                <w:szCs w:val="24"/>
                <w:highlight w:val="none"/>
              </w:rPr>
            </w:pPr>
            <w:r>
              <w:rPr>
                <w:color w:val="000000"/>
                <w:sz w:val="24"/>
                <w:szCs w:val="24"/>
                <w:highlight w:val="none"/>
              </w:rPr>
            </w:r>
            <w:r/>
          </w:p>
        </w:tc>
      </w:tr>
      <w:tr>
        <w:trPr>
          <w:trHeight w:val="439"/>
        </w:trPr>
        <w:tc>
          <w:tcPr>
            <w:gridSpan w:val="6"/>
            <w:tcW w:w="9390" w:type="dxa"/>
            <w:vAlign w:val="center"/>
            <w:textDirection w:val="lrTb"/>
            <w:noWrap w:val="false"/>
          </w:tcPr>
          <w:p>
            <w:pPr>
              <w:pStyle w:val="840"/>
              <w:ind w:left="0" w:right="0"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b/>
                <w:bCs/>
                <w:color w:val="000000"/>
                <w:spacing w:val="1"/>
                <w:sz w:val="24"/>
                <w:szCs w:val="24"/>
                <w:highlight w:val="none"/>
              </w:rPr>
              <w:t xml:space="preserve">二</w:t>
            </w:r>
            <w:r>
              <w:rPr>
                <w:rFonts w:hint="eastAsia" w:ascii="宋体" w:hAnsi="宋体" w:eastAsia="宋体" w:cs="宋体"/>
                <w:b/>
                <w:bCs/>
                <w:color w:val="000000"/>
                <w:spacing w:val="1"/>
                <w:sz w:val="24"/>
                <w:szCs w:val="24"/>
                <w:highlight w:val="none"/>
                <w:lang w:eastAsia="zh-CN"/>
              </w:rPr>
              <w:t xml:space="preserve">、供应商</w:t>
            </w:r>
            <w:r>
              <w:rPr>
                <w:rFonts w:ascii="宋体" w:hAnsi="宋体" w:eastAsia="宋体" w:cs="宋体"/>
                <w:b/>
                <w:bCs/>
                <w:color w:val="000000"/>
                <w:spacing w:val="1"/>
                <w:sz w:val="24"/>
                <w:szCs w:val="24"/>
                <w:highlight w:val="none"/>
              </w:rPr>
              <w:t xml:space="preserve">综合</w:t>
            </w:r>
            <w:r>
              <w:rPr>
                <w:rFonts w:hint="eastAsia" w:ascii="宋体" w:hAnsi="宋体" w:eastAsia="宋体" w:cs="宋体"/>
                <w:b/>
                <w:bCs/>
                <w:color w:val="000000"/>
                <w:spacing w:val="1"/>
                <w:sz w:val="24"/>
                <w:szCs w:val="24"/>
                <w:highlight w:val="none"/>
                <w:lang w:val="en-US" w:eastAsia="zh-CN"/>
              </w:rPr>
              <w:t xml:space="preserve">实力</w:t>
            </w:r>
            <w:r>
              <w:rPr>
                <w:rFonts w:ascii="宋体" w:hAnsi="宋体" w:eastAsia="宋体" w:cs="宋体"/>
                <w:b/>
                <w:bCs/>
                <w:color w:val="000000"/>
                <w:spacing w:val="1"/>
                <w:sz w:val="24"/>
                <w:szCs w:val="24"/>
                <w:highlight w:val="none"/>
              </w:rPr>
              <w:t xml:space="preserve">评价</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lang w:val="en-US" w:eastAsia="zh-CN"/>
              </w:rPr>
              <w:t xml:space="preserve">26分）</w:t>
            </w:r>
            <w:r>
              <w:rPr>
                <w:rFonts w:ascii="宋体" w:hAnsi="宋体" w:eastAsia="宋体" w:cs="宋体"/>
                <w:color w:val="000000"/>
                <w:sz w:val="24"/>
                <w:szCs w:val="24"/>
                <w:highlight w:val="none"/>
                <w:lang w:val="en-US" w:eastAsia="zh-CN"/>
              </w:rPr>
            </w:r>
            <w:r/>
          </w:p>
        </w:tc>
      </w:tr>
      <w:tr>
        <w:trPr>
          <w:trHeight w:val="1539"/>
        </w:trPr>
        <w:tc>
          <w:tcPr>
            <w:tcW w:w="741" w:type="dxa"/>
            <w:vAlign w:val="center"/>
            <w:textDirection w:val="lrTb"/>
            <w:noWrap w:val="false"/>
          </w:tcPr>
          <w:p>
            <w:pPr>
              <w:pStyle w:val="1097"/>
              <w:ind w:right="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管理体系</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840"/>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w:t>
            </w:r>
            <w:r>
              <w:rPr>
                <w:rFonts w:hint="eastAsia" w:ascii="宋体" w:hAnsi="宋体" w:eastAsia="宋体" w:cs="宋体"/>
                <w:color w:val="000000"/>
                <w:sz w:val="24"/>
                <w:szCs w:val="24"/>
                <w:highlight w:val="none"/>
              </w:rPr>
              <w:t xml:space="preserve">具有有效的质量管理体系认证证书、环境管理体系认证证书、职业健康安全管理体系认证证书</w:t>
            </w:r>
            <w:r>
              <w:rPr>
                <w:rFonts w:hint="eastAsia" w:ascii="宋体" w:hAnsi="宋体" w:eastAsia="宋体" w:cs="宋体"/>
                <w:color w:val="000000"/>
                <w:sz w:val="24"/>
                <w:szCs w:val="24"/>
                <w:highlight w:val="none"/>
                <w:lang w:eastAsia="zh-CN"/>
              </w:rPr>
              <w:t xml:space="preserve">，每提供一个有效认证证书得</w:t>
            </w:r>
            <w:r>
              <w:rPr>
                <w:rFonts w:hint="eastAsia" w:ascii="宋体" w:hAnsi="宋体" w:eastAsia="宋体" w:cs="宋体"/>
                <w:color w:val="000000"/>
                <w:sz w:val="24"/>
                <w:szCs w:val="24"/>
                <w:highlight w:val="none"/>
                <w:lang w:val="en-US" w:eastAsia="zh-CN"/>
              </w:rPr>
              <w:t xml:space="preserve">2分，最高得6分；</w:t>
            </w:r>
            <w:r>
              <w:rPr>
                <w:rFonts w:ascii="宋体" w:hAnsi="宋体" w:eastAsia="宋体" w:cs="宋体"/>
                <w:color w:val="000000"/>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2、投标人具有</w:t>
            </w:r>
            <w:r>
              <w:rPr>
                <w:rFonts w:hint="eastAsia" w:ascii="宋体" w:hAnsi="宋体" w:eastAsia="宋体" w:cs="宋体"/>
                <w:color w:val="000000"/>
                <w:sz w:val="24"/>
                <w:szCs w:val="24"/>
                <w:highlight w:val="none"/>
              </w:rPr>
              <w:t xml:space="preserve">生活垃圾分类服务能力认证证</w:t>
            </w:r>
            <w:r>
              <w:rPr>
                <w:rFonts w:hint="eastAsia" w:ascii="宋体" w:hAnsi="宋体" w:eastAsia="宋体" w:cs="宋体"/>
                <w:color w:val="000000"/>
                <w:spacing w:val="-1"/>
                <w:sz w:val="24"/>
                <w:szCs w:val="24"/>
                <w:highlight w:val="none"/>
              </w:rPr>
              <w:t xml:space="preserve">书</w:t>
            </w:r>
            <w:r>
              <w:rPr>
                <w:rFonts w:hint="eastAsia" w:ascii="宋体" w:hAnsi="宋体" w:eastAsia="宋体" w:cs="宋体"/>
                <w:color w:val="000000"/>
                <w:spacing w:val="-1"/>
                <w:sz w:val="24"/>
                <w:szCs w:val="24"/>
                <w:highlight w:val="none"/>
                <w:lang w:eastAsia="zh-CN"/>
              </w:rPr>
              <w:t xml:space="preserve">的，</w:t>
            </w:r>
            <w:r>
              <w:rPr>
                <w:rFonts w:hint="eastAsia" w:ascii="宋体" w:hAnsi="宋体" w:eastAsia="宋体" w:cs="宋体"/>
                <w:color w:val="000000"/>
                <w:spacing w:val="-1"/>
                <w:sz w:val="24"/>
                <w:szCs w:val="24"/>
                <w:highlight w:val="none"/>
              </w:rPr>
              <w:t xml:space="preserve">得2分，</w:t>
            </w:r>
            <w:r>
              <w:rPr>
                <w:rFonts w:hint="eastAsia" w:ascii="宋体" w:hAnsi="宋体" w:eastAsia="宋体" w:cs="宋体"/>
                <w:color w:val="000000"/>
                <w:spacing w:val="-1"/>
                <w:sz w:val="24"/>
                <w:szCs w:val="24"/>
                <w:highlight w:val="none"/>
                <w:lang w:eastAsia="zh-CN"/>
              </w:rPr>
              <w:t xml:space="preserve">最高得</w:t>
            </w:r>
            <w:r>
              <w:rPr>
                <w:rFonts w:hint="eastAsia" w:ascii="宋体" w:hAnsi="宋体" w:eastAsia="宋体" w:cs="宋体"/>
                <w:color w:val="000000"/>
                <w:spacing w:val="-1"/>
                <w:sz w:val="24"/>
                <w:szCs w:val="24"/>
                <w:highlight w:val="none"/>
                <w:lang w:val="en-US" w:eastAsia="zh-CN"/>
              </w:rPr>
              <w:t xml:space="preserve">2分；</w:t>
            </w:r>
            <w:r>
              <w:rPr>
                <w:rFonts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eastAsia="zh-CN"/>
              </w:rPr>
              <w:t xml:space="preserve">本项</w:t>
            </w:r>
            <w:r>
              <w:rPr>
                <w:rFonts w:hint="eastAsia" w:ascii="宋体" w:hAnsi="宋体" w:eastAsia="宋体" w:cs="宋体"/>
                <w:b/>
                <w:bCs/>
                <w:color w:val="000000"/>
                <w:spacing w:val="-1"/>
                <w:sz w:val="24"/>
                <w:szCs w:val="24"/>
                <w:highlight w:val="none"/>
              </w:rPr>
              <w:t xml:space="preserve">最高得</w:t>
            </w:r>
            <w:r>
              <w:rPr>
                <w:rFonts w:hint="eastAsia" w:ascii="宋体" w:hAnsi="宋体" w:eastAsia="宋体" w:cs="宋体"/>
                <w:b/>
                <w:bCs/>
                <w:color w:val="000000"/>
                <w:spacing w:val="-1"/>
                <w:sz w:val="24"/>
                <w:szCs w:val="24"/>
                <w:highlight w:val="none"/>
                <w:lang w:val="en-US" w:eastAsia="zh-CN"/>
              </w:rPr>
              <w:t xml:space="preserve">8</w:t>
            </w:r>
            <w:r>
              <w:rPr>
                <w:rFonts w:hint="eastAsia" w:ascii="宋体" w:hAnsi="宋体" w:eastAsia="宋体" w:cs="宋体"/>
                <w:b/>
                <w:bCs/>
                <w:color w:val="000000"/>
                <w:spacing w:val="-1"/>
                <w:sz w:val="24"/>
                <w:szCs w:val="24"/>
                <w:highlight w:val="none"/>
              </w:rPr>
              <w:t xml:space="preserve">分</w:t>
            </w:r>
            <w:r>
              <w:rPr>
                <w:rFonts w:hint="eastAsia" w:ascii="宋体" w:hAnsi="宋体" w:eastAsia="宋体" w:cs="宋体"/>
                <w:color w:val="000000"/>
                <w:spacing w:val="-1"/>
                <w:sz w:val="24"/>
                <w:szCs w:val="24"/>
                <w:highlight w:val="none"/>
              </w:rPr>
              <w:t xml:space="preserve">。</w:t>
            </w:r>
            <w:r>
              <w:rPr>
                <w:rFonts w:ascii="宋体" w:hAnsi="宋体" w:eastAsia="宋体" w:cs="宋体"/>
                <w:color w:val="000000"/>
                <w:sz w:val="24"/>
                <w:szCs w:val="24"/>
                <w:highlight w:val="none"/>
                <w:lang w:val="en-US" w:eastAsia="zh-CN"/>
              </w:rPr>
            </w:r>
            <w:r/>
          </w:p>
        </w:tc>
        <w:tc>
          <w:tcPr>
            <w:tcW w:w="614"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gridSpan w:val="2"/>
            <w:tcW w:w="2130" w:type="dxa"/>
            <w:vAlign w:val="center"/>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bidi="ar-SA"/>
              </w:rPr>
              <w:t xml:space="preserve">电子投标文件中</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b w:val="0"/>
                <w:bCs w:val="0"/>
                <w:color w:val="000000"/>
                <w:sz w:val="24"/>
                <w:szCs w:val="24"/>
                <w:highlight w:val="none"/>
                <w:lang w:val="zh-CN" w:eastAsia="zh-CN" w:bidi="ar-SA"/>
              </w:rPr>
              <w:t xml:space="preserve">有效期内</w:t>
            </w:r>
            <w:r>
              <w:rPr>
                <w:rFonts w:hint="eastAsia" w:ascii="宋体" w:hAnsi="宋体" w:eastAsia="宋体" w:cs="宋体"/>
                <w:b w:val="0"/>
                <w:bCs w:val="0"/>
                <w:color w:val="000000"/>
                <w:sz w:val="24"/>
                <w:szCs w:val="24"/>
                <w:highlight w:val="none"/>
                <w:lang w:val="en-US" w:eastAsia="zh-CN" w:bidi="ar-SA"/>
              </w:rPr>
              <w:t xml:space="preserve">的上述认证证书原件扫描件</w:t>
            </w:r>
            <w:r>
              <w:rPr>
                <w:rFonts w:hint="eastAsia" w:ascii="宋体" w:hAnsi="宋体" w:eastAsia="宋体" w:cs="宋体"/>
                <w:b w:val="0"/>
                <w:bCs w:val="0"/>
                <w:color w:val="000000"/>
                <w:sz w:val="24"/>
                <w:szCs w:val="24"/>
                <w:highlight w:val="none"/>
                <w:lang w:val="en-US" w:eastAsia="zh-CN"/>
              </w:rPr>
              <w:t xml:space="preserve">并加盖投标人公章，未提供不得分。</w:t>
            </w:r>
            <w:r>
              <w:rPr>
                <w:rFonts w:hint="eastAsia" w:ascii="宋体" w:hAnsi="宋体" w:eastAsia="宋体" w:cs="宋体"/>
                <w:color w:val="000000"/>
                <w:sz w:val="24"/>
                <w:szCs w:val="24"/>
                <w:highlight w:val="none"/>
                <w:lang w:eastAsia="zh-CN"/>
              </w:rPr>
            </w:r>
            <w:r/>
          </w:p>
        </w:tc>
      </w:tr>
      <w:tr>
        <w:trPr>
          <w:trHeight w:val="933"/>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eastAsia="zh-CN"/>
              </w:rPr>
              <w:t xml:space="preserve">类似</w:t>
            </w:r>
            <w:r>
              <w:rPr>
                <w:rFonts w:hint="eastAsia" w:ascii="宋体" w:hAnsi="宋体" w:eastAsia="宋体" w:cs="宋体"/>
                <w:color w:val="000000"/>
                <w:spacing w:val="-3"/>
                <w:sz w:val="24"/>
                <w:szCs w:val="24"/>
                <w:highlight w:val="none"/>
              </w:rPr>
              <w:t xml:space="preserve">业绩</w:t>
            </w:r>
            <w:r>
              <w:rPr>
                <w:rFonts w:hint="eastAsia" w:ascii="宋体" w:hAnsi="宋体" w:eastAsia="宋体" w:cs="宋体"/>
                <w:color w:val="000000"/>
                <w:sz w:val="24"/>
                <w:szCs w:val="24"/>
                <w:highlight w:val="none"/>
              </w:rPr>
            </w:r>
            <w:r/>
          </w:p>
        </w:tc>
        <w:tc>
          <w:tcPr>
            <w:tcW w:w="4755" w:type="dxa"/>
            <w:vAlign w:val="top"/>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年1月1日至本项目招标公告发布之日止（以合同签订时间为准），具有类似保洁服务经验，保洁服务合同内容中包含小区保洁服务的，每提供一个有效业绩得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最高得</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年1月1日至本项目招标公告发布之日止（以合同签订时间为准），具有河道保洁服务经验，提供河道保洁业绩合同或者保洁服务合同内容中包含河道保洁的，每提供一个有效业绩得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最高得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年1月1日至本项目招标公告发布之日止（以合同签订时间为准），具有公厕保洁服务经验，提供公厕保洁业绩合同或者保洁服务合同内容中包含公厕保洁的，每提供一个有效业绩得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最高得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0"/>
              <w:ind w:left="0" w:right="0" w:firstLine="0"/>
              <w:jc w:val="both"/>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w:t>
            </w:r>
            <w:r>
              <w:rPr>
                <w:rFonts w:hint="eastAsia" w:ascii="宋体" w:hAnsi="宋体" w:eastAsia="宋体" w:cs="宋体"/>
                <w:color w:val="000000"/>
                <w:sz w:val="24"/>
                <w:szCs w:val="24"/>
                <w:highlight w:val="none"/>
                <w:lang w:val="en-US" w:eastAsia="zh-CN"/>
              </w:rPr>
              <w:t xml:space="preserve">具有道路保洁服务经验，或保洁服务合同中包含道路保洁内容的，每提供一个有效业绩得 2分，</w:t>
            </w:r>
            <w:r>
              <w:rPr>
                <w:rFonts w:hint="eastAsia" w:ascii="宋体" w:hAnsi="宋体" w:eastAsia="宋体" w:cs="宋体"/>
                <w:b/>
                <w:bCs/>
                <w:color w:val="000000"/>
                <w:sz w:val="24"/>
                <w:szCs w:val="24"/>
                <w:highlight w:val="none"/>
                <w:lang w:val="en-US" w:eastAsia="zh-CN"/>
              </w:rPr>
              <w:t xml:space="preserve">最高得2分。</w:t>
            </w:r>
            <w:r>
              <w:rPr>
                <w:rFonts w:ascii="宋体" w:hAnsi="宋体" w:eastAsia="宋体" w:cs="宋体"/>
                <w:b/>
                <w:bCs/>
                <w:color w:val="000000"/>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本项最高得</w:t>
            </w:r>
            <w:r>
              <w:rPr>
                <w:rFonts w:hint="eastAsia" w:ascii="宋体" w:hAnsi="宋体" w:eastAsia="宋体" w:cs="宋体"/>
                <w:b/>
                <w:bCs/>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c>
          <w:tcPr>
            <w:tcW w:w="614" w:type="dxa"/>
            <w:vAlign w:val="center"/>
            <w:textDirection w:val="lrTb"/>
            <w:noWrap w:val="false"/>
          </w:tcPr>
          <w:p>
            <w:pPr>
              <w:pStyle w:val="840"/>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gridSpan w:val="2"/>
            <w:tcW w:w="2130" w:type="dxa"/>
            <w:vAlign w:val="center"/>
            <w:textDirection w:val="lrTb"/>
            <w:noWrap w:val="false"/>
          </w:tcPr>
          <w:p>
            <w:pPr>
              <w:pStyle w:val="840"/>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bidi="ar-SA"/>
              </w:rPr>
              <w:t xml:space="preserve">1、电子</w:t>
            </w:r>
            <w:r>
              <w:rPr>
                <w:rFonts w:hint="eastAsia" w:ascii="宋体" w:hAnsi="宋体" w:eastAsia="宋体" w:cs="宋体"/>
                <w:color w:val="000000"/>
                <w:spacing w:val="1"/>
                <w:sz w:val="24"/>
                <w:szCs w:val="24"/>
                <w:highlight w:val="none"/>
                <w:lang w:eastAsia="zh-CN"/>
              </w:rPr>
              <w:t xml:space="preserve">投标文件中</w:t>
            </w:r>
            <w:r>
              <w:rPr>
                <w:rFonts w:hint="eastAsia" w:ascii="宋体" w:hAnsi="宋体" w:eastAsia="宋体" w:cs="宋体"/>
                <w:color w:val="000000"/>
                <w:spacing w:val="1"/>
                <w:sz w:val="24"/>
                <w:szCs w:val="24"/>
                <w:highlight w:val="none"/>
              </w:rPr>
              <w:t xml:space="preserve">提供</w:t>
            </w:r>
            <w:r>
              <w:rPr>
                <w:rFonts w:hint="eastAsia" w:ascii="宋体" w:hAnsi="宋体" w:eastAsia="宋体" w:cs="宋体"/>
                <w:color w:val="000000"/>
                <w:spacing w:val="1"/>
                <w:sz w:val="24"/>
                <w:szCs w:val="24"/>
                <w:highlight w:val="none"/>
                <w:lang w:eastAsia="zh-CN"/>
              </w:rPr>
              <w:t xml:space="preserve">上述有效业绩服务合同原件扫描件并</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，合同内容须完整，包含合同首页、服务内容页、签字盖章页，未提供或提供无效的不得分。</w:t>
            </w:r>
            <w:r>
              <w:rPr>
                <w:rFonts w:ascii="宋体" w:hAnsi="宋体" w:eastAsia="宋体" w:cs="宋体"/>
                <w:color w:val="000000"/>
                <w:sz w:val="24"/>
                <w:szCs w:val="24"/>
                <w:highlight w:val="none"/>
                <w:lang w:val="en-US"/>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rPr>
            </w:pPr>
            <w:r>
              <w:rPr>
                <w:rFonts w:hint="eastAsia" w:ascii="宋体" w:hAnsi="宋体" w:eastAsia="宋体" w:cs="宋体"/>
                <w:b w:val="0"/>
                <w:bCs w:val="0"/>
                <w:color w:val="000000"/>
                <w:spacing w:val="1"/>
                <w:sz w:val="24"/>
                <w:szCs w:val="24"/>
                <w:highlight w:val="none"/>
                <w:lang w:val="en-US" w:eastAsia="zh-CN"/>
              </w:rPr>
              <w:t xml:space="preserve">2.</w:t>
            </w:r>
            <w:r>
              <w:rPr>
                <w:rFonts w:hint="eastAsia" w:ascii="宋体" w:hAnsi="宋体" w:eastAsia="宋体" w:cs="宋体"/>
                <w:b w:val="0"/>
                <w:bCs w:val="0"/>
                <w:color w:val="000000"/>
                <w:spacing w:val="1"/>
                <w:sz w:val="24"/>
                <w:szCs w:val="24"/>
                <w:highlight w:val="none"/>
              </w:rPr>
              <w:t xml:space="preserve">同一项目不同年度的</w:t>
            </w:r>
            <w:r>
              <w:rPr>
                <w:rFonts w:hint="eastAsia" w:ascii="宋体" w:hAnsi="宋体" w:eastAsia="宋体" w:cs="宋体"/>
                <w:b w:val="0"/>
                <w:bCs w:val="0"/>
                <w:color w:val="000000"/>
                <w:spacing w:val="1"/>
                <w:sz w:val="24"/>
                <w:szCs w:val="24"/>
                <w:highlight w:val="none"/>
                <w:lang w:eastAsia="zh-CN"/>
              </w:rPr>
              <w:t xml:space="preserve">业绩</w:t>
            </w:r>
            <w:r>
              <w:rPr>
                <w:rFonts w:hint="eastAsia" w:ascii="宋体" w:hAnsi="宋体" w:eastAsia="宋体" w:cs="宋体"/>
                <w:b w:val="0"/>
                <w:bCs w:val="0"/>
                <w:color w:val="000000"/>
                <w:spacing w:val="1"/>
                <w:sz w:val="24"/>
                <w:szCs w:val="24"/>
                <w:highlight w:val="none"/>
              </w:rPr>
              <w:t xml:space="preserve">合同不重复计分。</w:t>
            </w:r>
            <w:r>
              <w:rPr>
                <w:rFonts w:hint="eastAsia" w:ascii="宋体" w:hAnsi="宋体" w:eastAsia="宋体" w:cs="宋体"/>
                <w:b w:val="0"/>
                <w:bCs w:val="0"/>
                <w:color w:val="000000"/>
                <w:spacing w:val="1"/>
                <w:sz w:val="24"/>
                <w:szCs w:val="24"/>
                <w:highlight w:val="none"/>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pacing w:val="1"/>
                <w:sz w:val="24"/>
                <w:szCs w:val="24"/>
                <w:highlight w:val="none"/>
                <w:lang w:val="en-US" w:eastAsia="zh-CN"/>
              </w:rPr>
              <w:t xml:space="preserve">3.</w:t>
            </w:r>
            <w:r>
              <w:rPr>
                <w:rFonts w:hint="eastAsia" w:ascii="宋体" w:hAnsi="宋体" w:eastAsia="宋体" w:cs="宋体"/>
                <w:b w:val="0"/>
                <w:bCs w:val="0"/>
                <w:color w:val="000000"/>
                <w:spacing w:val="1"/>
                <w:sz w:val="24"/>
                <w:szCs w:val="24"/>
                <w:highlight w:val="none"/>
              </w:rPr>
              <w:t xml:space="preserve">同一合同同时包含小区、河道等多项服务内容的，只计一次分，不重复计分。</w:t>
            </w:r>
            <w:r>
              <w:rPr>
                <w:rFonts w:hint="eastAsia" w:ascii="宋体" w:hAnsi="宋体" w:eastAsia="宋体" w:cs="宋体"/>
                <w:color w:val="000000"/>
                <w:sz w:val="24"/>
                <w:szCs w:val="24"/>
                <w:highlight w:val="none"/>
              </w:rPr>
            </w:r>
            <w:r/>
          </w:p>
        </w:tc>
      </w:tr>
      <w:tr>
        <w:trPr>
          <w:trHeight w:val="939"/>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2"/>
                <w:sz w:val="24"/>
                <w:szCs w:val="24"/>
                <w:highlight w:val="none"/>
                <w:lang w:eastAsia="zh-CN"/>
              </w:rPr>
              <w:t xml:space="preserve">车辆配置</w:t>
            </w:r>
            <w:r>
              <w:rPr>
                <w:rFonts w:hint="eastAsia" w:ascii="宋体" w:hAnsi="宋体" w:eastAsia="宋体" w:cs="宋体"/>
                <w:color w:val="000000"/>
                <w:sz w:val="24"/>
                <w:szCs w:val="24"/>
                <w:highlight w:val="none"/>
                <w:lang w:eastAsia="zh-CN"/>
              </w:rPr>
            </w:r>
            <w:r/>
          </w:p>
        </w:tc>
        <w:tc>
          <w:tcPr>
            <w:tcW w:w="4755" w:type="dxa"/>
            <w:vAlign w:val="center"/>
            <w:textDirection w:val="lrTb"/>
            <w:noWrap w:val="false"/>
          </w:tcPr>
          <w:p>
            <w:pPr>
              <w:pStyle w:val="840"/>
              <w:ind w:left="0" w:right="0" w:firstLine="0"/>
              <w:jc w:val="both"/>
              <w:keepLines w:val="0"/>
              <w:keepNext w:val="0"/>
              <w:pageBreakBefore w:val="0"/>
              <w:spacing w:line="240" w:lineRule="auto"/>
              <w:widowControl w:val="off"/>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投标人</w:t>
            </w:r>
            <w:r>
              <w:rPr>
                <w:rFonts w:ascii="宋体" w:hAnsi="宋体" w:eastAsia="宋体" w:cs="宋体"/>
                <w:b/>
                <w:bCs/>
                <w:color w:val="000000"/>
                <w:spacing w:val="-1"/>
                <w:sz w:val="24"/>
                <w:szCs w:val="24"/>
                <w:highlight w:val="none"/>
                <w:lang w:val="en-US" w:eastAsia="zh-CN"/>
              </w:rPr>
              <w:t xml:space="preserve">配备相关</w:t>
            </w:r>
            <w:r>
              <w:rPr>
                <w:rFonts w:hint="eastAsia" w:ascii="宋体" w:hAnsi="宋体" w:eastAsia="宋体" w:cs="宋体"/>
                <w:b/>
                <w:bCs/>
                <w:color w:val="000000"/>
                <w:spacing w:val="-1"/>
                <w:sz w:val="24"/>
                <w:szCs w:val="24"/>
                <w:highlight w:val="none"/>
                <w:lang w:val="en-US" w:eastAsia="zh-CN"/>
              </w:rPr>
              <w:t xml:space="preserve">机动车作业</w:t>
            </w:r>
            <w:r>
              <w:rPr>
                <w:rFonts w:ascii="宋体" w:hAnsi="宋体" w:eastAsia="宋体" w:cs="宋体"/>
                <w:b/>
                <w:bCs/>
                <w:color w:val="000000"/>
                <w:spacing w:val="-1"/>
                <w:sz w:val="24"/>
                <w:szCs w:val="24"/>
                <w:highlight w:val="none"/>
                <w:lang w:val="en-US" w:eastAsia="zh-CN"/>
              </w:rPr>
              <w:t xml:space="preserve">车辆</w:t>
            </w:r>
            <w:r>
              <w:rPr>
                <w:rFonts w:hint="eastAsia" w:ascii="宋体" w:hAnsi="宋体" w:eastAsia="宋体" w:cs="宋体"/>
                <w:b/>
                <w:bCs/>
                <w:color w:val="000000"/>
                <w:spacing w:val="-1"/>
                <w:sz w:val="24"/>
                <w:szCs w:val="24"/>
                <w:highlight w:val="none"/>
                <w:lang w:val="en-US" w:eastAsia="zh-CN"/>
              </w:rPr>
              <w:t xml:space="preserve">：</w:t>
            </w:r>
            <w:r>
              <w:rPr>
                <w:rFonts w:ascii="宋体" w:hAnsi="宋体" w:eastAsia="宋体" w:cs="宋体"/>
                <w:b/>
                <w:bCs/>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ascii="宋体" w:hAnsi="宋体" w:eastAsia="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lang w:val="en-US" w:eastAsia="zh-CN"/>
              </w:rPr>
              <w:t xml:space="preserve">10吨及以上高压冲洒水车</w:t>
            </w:r>
            <w:r>
              <w:rPr>
                <w:rFonts w:ascii="宋体" w:hAnsi="宋体" w:eastAsia="宋体" w:cs="宋体"/>
                <w:color w:val="000000"/>
                <w:spacing w:val="-1"/>
                <w:sz w:val="24"/>
                <w:szCs w:val="24"/>
                <w:highlight w:val="none"/>
                <w:lang w:val="en-US" w:eastAsia="zh-CN"/>
              </w:rPr>
              <w:t xml:space="preserve">，自有</w:t>
            </w:r>
            <w:r>
              <w:rPr>
                <w:rFonts w:hint="eastAsia" w:ascii="宋体" w:hAnsi="宋体" w:eastAsia="宋体" w:cs="宋体"/>
                <w:color w:val="000000"/>
                <w:spacing w:val="-1"/>
                <w:sz w:val="24"/>
                <w:szCs w:val="24"/>
                <w:highlight w:val="none"/>
                <w:lang w:val="en-US" w:eastAsia="zh-CN"/>
              </w:rPr>
              <w:t xml:space="preserve">或租赁</w:t>
            </w:r>
            <w:r>
              <w:rPr>
                <w:rFonts w:ascii="宋体" w:hAnsi="宋体" w:eastAsia="宋体" w:cs="宋体"/>
                <w:color w:val="000000"/>
                <w:spacing w:val="-1"/>
                <w:sz w:val="24"/>
                <w:szCs w:val="24"/>
                <w:highlight w:val="none"/>
                <w:lang w:val="en-US" w:eastAsia="zh-CN"/>
              </w:rPr>
              <w:t xml:space="preserve">车辆</w:t>
            </w:r>
            <w:r>
              <w:rPr>
                <w:rFonts w:hint="eastAsia" w:ascii="宋体" w:hAnsi="宋体" w:eastAsia="宋体" w:cs="宋体"/>
                <w:color w:val="000000"/>
                <w:spacing w:val="-1"/>
                <w:sz w:val="24"/>
                <w:szCs w:val="24"/>
                <w:highlight w:val="none"/>
                <w:lang w:val="en-US" w:eastAsia="zh-CN"/>
              </w:rPr>
              <w:t xml:space="preserve">，有一辆</w:t>
            </w:r>
            <w:r>
              <w:rPr>
                <w:rFonts w:ascii="宋体" w:hAnsi="宋体" w:eastAsia="宋体" w:cs="宋体"/>
                <w:color w:val="000000"/>
                <w:spacing w:val="-1"/>
                <w:sz w:val="24"/>
                <w:szCs w:val="24"/>
                <w:highlight w:val="none"/>
                <w:lang w:val="en-US" w:eastAsia="zh-CN"/>
              </w:rPr>
              <w:t xml:space="preserve">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分，最高得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w:t>
            </w:r>
            <w:r>
              <w:rPr>
                <w:rFonts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val="en-US" w:eastAsia="zh-CN"/>
              </w:rPr>
              <w:t xml:space="preserve">8吨及以上清洗作业车辆</w:t>
            </w:r>
            <w:r>
              <w:rPr>
                <w:rFonts w:ascii="宋体" w:hAnsi="宋体" w:eastAsia="宋体" w:cs="宋体"/>
                <w:color w:val="000000"/>
                <w:spacing w:val="-1"/>
                <w:sz w:val="24"/>
                <w:szCs w:val="24"/>
                <w:highlight w:val="none"/>
                <w:lang w:val="en-US" w:eastAsia="zh-CN"/>
              </w:rPr>
              <w:t xml:space="preserve">，自有</w:t>
            </w:r>
            <w:r>
              <w:rPr>
                <w:rFonts w:hint="eastAsia" w:ascii="宋体" w:hAnsi="宋体" w:eastAsia="宋体" w:cs="宋体"/>
                <w:color w:val="000000"/>
                <w:spacing w:val="-1"/>
                <w:sz w:val="24"/>
                <w:szCs w:val="24"/>
                <w:highlight w:val="none"/>
                <w:lang w:val="en-US" w:eastAsia="zh-CN"/>
              </w:rPr>
              <w:t xml:space="preserve">或租赁</w:t>
            </w:r>
            <w:r>
              <w:rPr>
                <w:rFonts w:ascii="宋体" w:hAnsi="宋体" w:eastAsia="宋体" w:cs="宋体"/>
                <w:color w:val="000000"/>
                <w:spacing w:val="-1"/>
                <w:sz w:val="24"/>
                <w:szCs w:val="24"/>
                <w:highlight w:val="none"/>
                <w:lang w:val="en-US" w:eastAsia="zh-CN"/>
              </w:rPr>
              <w:t xml:space="preserve">车辆</w:t>
            </w:r>
            <w:r>
              <w:rPr>
                <w:rFonts w:hint="eastAsia" w:ascii="宋体" w:hAnsi="宋体" w:eastAsia="宋体" w:cs="宋体"/>
                <w:color w:val="000000"/>
                <w:spacing w:val="-1"/>
                <w:sz w:val="24"/>
                <w:szCs w:val="24"/>
                <w:highlight w:val="none"/>
                <w:lang w:val="en-US" w:eastAsia="zh-CN"/>
              </w:rPr>
              <w:t xml:space="preserve">有一辆</w:t>
            </w:r>
            <w:r>
              <w:rPr>
                <w:rFonts w:ascii="宋体" w:hAnsi="宋体" w:eastAsia="宋体" w:cs="宋体"/>
                <w:color w:val="000000"/>
                <w:spacing w:val="-1"/>
                <w:sz w:val="24"/>
                <w:szCs w:val="24"/>
                <w:highlight w:val="none"/>
                <w:lang w:val="en-US" w:eastAsia="zh-CN"/>
              </w:rPr>
              <w:t xml:space="preserve">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分，最高得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w:t>
            </w:r>
            <w:r>
              <w:rPr>
                <w:rFonts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3、小型高压三轮冲洗车，自有或租赁车辆，有一辆得1分，最高得2分。</w:t>
            </w:r>
            <w:r>
              <w:rPr>
                <w:rFonts w:hint="eastAsia"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4、垃圾运输转运车，自有或租赁车辆，有一辆得2分，最高得2分。</w:t>
            </w:r>
            <w:r>
              <w:rPr>
                <w:rFonts w:hint="eastAsia"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本项最高得8分。</w:t>
            </w:r>
            <w:r>
              <w:rPr>
                <w:rFonts w:ascii="宋体" w:hAnsi="宋体" w:eastAsia="宋体" w:cs="宋体"/>
                <w:b/>
                <w:bCs/>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ascii="宋体" w:hAnsi="宋体" w:eastAsia="宋体" w:cs="宋体"/>
                <w:color w:val="000000"/>
                <w:spacing w:val="-1"/>
                <w:sz w:val="24"/>
                <w:szCs w:val="24"/>
                <w:highlight w:val="none"/>
                <w:lang w:val="en-US" w:eastAsia="zh-CN"/>
              </w:rPr>
            </w:r>
            <w:r/>
          </w:p>
        </w:tc>
        <w:tc>
          <w:tcPr>
            <w:tcW w:w="614"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gridSpan w:val="2"/>
            <w:tcW w:w="2130" w:type="dxa"/>
            <w:vAlign w:val="top"/>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1、自有车辆须提供：</w:t>
            </w:r>
            <w:r>
              <w:rPr>
                <w:rFonts w:hint="eastAsia" w:ascii="宋体" w:hAnsi="宋体" w:eastAsia="宋体" w:cs="宋体"/>
                <w:color w:val="000000"/>
                <w:sz w:val="24"/>
                <w:szCs w:val="24"/>
                <w:highlight w:val="none"/>
                <w:lang w:eastAsia="zh-CN"/>
              </w:rPr>
              <w:t xml:space="preserve">机动车</w:t>
            </w:r>
            <w:r>
              <w:rPr>
                <w:rFonts w:hint="eastAsia" w:ascii="宋体" w:hAnsi="宋体" w:eastAsia="宋体" w:cs="宋体"/>
                <w:color w:val="000000"/>
                <w:sz w:val="24"/>
                <w:szCs w:val="24"/>
                <w:highlight w:val="none"/>
                <w:lang w:val="en-US" w:eastAsia="zh-CN"/>
              </w:rPr>
              <w:t xml:space="preserve">登记证书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车辆行驶证原件</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lang w:val="en-US" w:eastAsia="zh-CN"/>
              </w:rPr>
              <w:t xml:space="preserve">及显示车牌的车辆照片（证照相符）</w:t>
            </w:r>
            <w:r>
              <w:rPr>
                <w:rFonts w:hint="eastAsia" w:ascii="宋体" w:hAnsi="宋体" w:eastAsia="宋体" w:cs="宋体"/>
                <w:color w:val="000000"/>
                <w:sz w:val="24"/>
                <w:szCs w:val="24"/>
                <w:highlight w:val="none"/>
                <w:lang w:eastAsia="zh-CN"/>
              </w:rPr>
              <w:t xml:space="preserve">加盖投标人公章，未提供或提供无效的不得分；</w:t>
            </w:r>
            <w:r>
              <w:rPr>
                <w:rFonts w:hint="eastAsia" w:ascii="宋体" w:hAnsi="宋体" w:eastAsia="宋体" w:cs="宋体"/>
                <w:color w:val="000000"/>
                <w:sz w:val="24"/>
                <w:szCs w:val="24"/>
                <w:highlight w:val="none"/>
                <w:lang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2、投标人租赁车辆须提供：</w:t>
            </w:r>
            <w:r>
              <w:rPr>
                <w:rFonts w:hint="eastAsia" w:ascii="宋体" w:hAnsi="宋体" w:eastAsia="宋体" w:cs="宋体"/>
                <w:color w:val="000000"/>
                <w:sz w:val="24"/>
                <w:szCs w:val="24"/>
                <w:highlight w:val="none"/>
                <w:lang w:eastAsia="zh-CN"/>
              </w:rPr>
              <w:t xml:space="preserve">机动车</w:t>
            </w:r>
            <w:r>
              <w:rPr>
                <w:rFonts w:hint="eastAsia" w:ascii="宋体" w:hAnsi="宋体" w:eastAsia="宋体" w:cs="宋体"/>
                <w:color w:val="000000"/>
                <w:sz w:val="24"/>
                <w:szCs w:val="24"/>
                <w:highlight w:val="none"/>
                <w:lang w:val="en-US" w:eastAsia="zh-CN"/>
              </w:rPr>
              <w:t xml:space="preserve">车辆</w:t>
            </w:r>
            <w:r>
              <w:rPr>
                <w:rFonts w:hint="eastAsia" w:ascii="宋体" w:hAnsi="宋体" w:eastAsia="宋体" w:cs="宋体"/>
                <w:color w:val="000000"/>
                <w:sz w:val="24"/>
                <w:szCs w:val="24"/>
                <w:highlight w:val="none"/>
                <w:lang w:eastAsia="zh-CN"/>
              </w:rPr>
              <w:t xml:space="preserve">行驶证、租赁协议（合同）原件扫描件</w:t>
            </w:r>
            <w:r>
              <w:rPr>
                <w:rFonts w:hint="eastAsia" w:ascii="宋体" w:hAnsi="宋体" w:eastAsia="宋体" w:cs="宋体"/>
                <w:color w:val="000000"/>
                <w:sz w:val="24"/>
                <w:szCs w:val="24"/>
                <w:highlight w:val="none"/>
                <w:lang w:val="en-US" w:eastAsia="zh-CN"/>
              </w:rPr>
              <w:t xml:space="preserve">及车辆照片</w:t>
            </w:r>
            <w:r>
              <w:rPr>
                <w:rFonts w:hint="eastAsia" w:ascii="宋体" w:hAnsi="宋体" w:eastAsia="宋体" w:cs="宋体"/>
                <w:color w:val="000000"/>
                <w:sz w:val="24"/>
                <w:szCs w:val="24"/>
                <w:highlight w:val="none"/>
                <w:lang w:eastAsia="zh-CN"/>
              </w:rPr>
              <w:t xml:space="preserve">，均加盖投标人公章，未提供或提供无效的不得分。</w:t>
            </w:r>
            <w:r>
              <w:rPr>
                <w:rFonts w:hint="eastAsia" w:ascii="宋体" w:hAnsi="宋体" w:eastAsia="宋体" w:cs="宋体"/>
                <w:color w:val="000000"/>
                <w:sz w:val="24"/>
                <w:szCs w:val="24"/>
                <w:highlight w:val="none"/>
                <w:lang w:eastAsia="zh-CN"/>
              </w:rPr>
            </w:r>
            <w:r/>
          </w:p>
        </w:tc>
      </w:tr>
      <w:tr>
        <w:trPr>
          <w:gridAfter w:val="1"/>
          <w:trHeight w:val="430"/>
        </w:trPr>
        <w:tc>
          <w:tcPr>
            <w:gridSpan w:val="5"/>
            <w:tcW w:w="9369" w:type="dxa"/>
            <w:vAlign w:val="center"/>
            <w:textDirection w:val="lrTb"/>
            <w:noWrap w:val="false"/>
          </w:tcPr>
          <w:p>
            <w:pPr>
              <w:pStyle w:val="840"/>
              <w:ind w:left="0" w:right="0"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rPr>
              <w:t xml:space="preserve">三、</w:t>
            </w:r>
            <w:r>
              <w:rPr>
                <w:rFonts w:hint="eastAsia" w:ascii="宋体" w:hAnsi="宋体" w:eastAsia="宋体" w:cs="宋体"/>
                <w:b/>
                <w:bCs/>
                <w:color w:val="000000"/>
                <w:spacing w:val="-1"/>
                <w:sz w:val="24"/>
                <w:szCs w:val="24"/>
                <w:highlight w:val="none"/>
                <w:lang w:eastAsia="zh-CN"/>
              </w:rPr>
              <w:t xml:space="preserve">保洁服务方案（</w:t>
            </w:r>
            <w:r>
              <w:rPr>
                <w:rFonts w:hint="eastAsia" w:ascii="宋体" w:hAnsi="宋体" w:eastAsia="宋体" w:cs="宋体"/>
                <w:b/>
                <w:bCs/>
                <w:color w:val="000000"/>
                <w:spacing w:val="-1"/>
                <w:sz w:val="24"/>
                <w:szCs w:val="24"/>
                <w:highlight w:val="none"/>
                <w:lang w:val="en-US" w:eastAsia="zh-CN"/>
              </w:rPr>
              <w:t xml:space="preserve">64分）</w:t>
            </w:r>
            <w:r>
              <w:rPr>
                <w:rFonts w:ascii="宋体" w:hAnsi="宋体" w:eastAsia="宋体" w:cs="宋体"/>
                <w:color w:val="000000"/>
                <w:sz w:val="24"/>
                <w:szCs w:val="24"/>
                <w:highlight w:val="none"/>
                <w:lang w:val="en-US" w:eastAsia="zh-CN"/>
              </w:rPr>
            </w:r>
            <w:r/>
          </w:p>
        </w:tc>
      </w:tr>
      <w:tr>
        <w:trPr>
          <w:gridAfter w:val="1"/>
          <w:trHeight w:val="819"/>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50" w:type="dxa"/>
            <w:vAlign w:val="center"/>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项目</w:t>
            </w:r>
            <w:r>
              <w:rPr>
                <w:rFonts w:hint="eastAsia" w:ascii="宋体" w:hAnsi="宋体" w:eastAsia="宋体" w:cs="宋体"/>
                <w:color w:val="000000"/>
                <w:spacing w:val="2"/>
                <w:sz w:val="24"/>
                <w:szCs w:val="24"/>
                <w:highlight w:val="none"/>
              </w:rPr>
              <w:t xml:space="preserve">情况</w:t>
            </w:r>
            <w:r>
              <w:rPr>
                <w:rFonts w:hint="eastAsia" w:ascii="宋体" w:hAnsi="宋体" w:eastAsia="宋体" w:cs="宋体"/>
                <w:color w:val="000000"/>
                <w:spacing w:val="-3"/>
                <w:sz w:val="24"/>
                <w:szCs w:val="24"/>
                <w:highlight w:val="none"/>
              </w:rPr>
              <w:t xml:space="preserve">分析</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840"/>
              <w:ind w:righ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根据项目需求内容及项目保洁范围，投标人可自行踏勘现场，评委根据投标人针对本项目需求和项目特性进行的分析进行综合评审，评审时结合项目保洁范围（含河道保洁等特殊作业）以及项目特点进行综合判断，重点考察投标人对项目环境、作业风险、管理难点的理解程度：</w:t>
            </w:r>
            <w:r>
              <w:rPr>
                <w:rFonts w:hint="eastAsia" w:ascii="宋体" w:hAnsi="宋体" w:eastAsia="宋体" w:cs="宋体"/>
                <w:b/>
                <w:bCs/>
                <w:color w:val="000000"/>
                <w:sz w:val="24"/>
                <w:szCs w:val="24"/>
                <w:highlight w:val="none"/>
                <w:lang w:val="en-US" w:eastAsia="zh-CN" w:bidi="ar-SA"/>
              </w:rPr>
            </w:r>
            <w:r/>
          </w:p>
          <w:p>
            <w:pPr>
              <w:pStyle w:val="840"/>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（1）对项目需求及项目特性分析全面、深入、完全符合实际，能够清晰识别项目重点难点（如河道保洁、绿化养护等特殊区域要求），得6分；</w:t>
            </w:r>
            <w:r>
              <w:rPr>
                <w:rFonts w:hint="eastAsia" w:ascii="宋体" w:hAnsi="宋体" w:eastAsia="宋体" w:cs="宋体"/>
                <w:color w:val="000000"/>
                <w:sz w:val="24"/>
                <w:szCs w:val="24"/>
                <w:highlight w:val="none"/>
                <w:lang w:val="en-US" w:eastAsia="zh-CN" w:bidi="ar-SA"/>
              </w:rPr>
            </w:r>
            <w:r/>
          </w:p>
          <w:p>
            <w:pPr>
              <w:pStyle w:val="840"/>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（2）对项目需求及项目特性分析较全面、基本符合实际，能够识别部分重点难点，但深度或细节有所不足，得4分；</w:t>
            </w:r>
            <w:r>
              <w:rPr>
                <w:rFonts w:hint="eastAsia" w:ascii="宋体" w:hAnsi="宋体" w:eastAsia="宋体" w:cs="宋体"/>
                <w:color w:val="000000"/>
                <w:sz w:val="24"/>
                <w:szCs w:val="24"/>
                <w:highlight w:val="none"/>
                <w:lang w:val="en-US" w:eastAsia="zh-CN" w:bidi="ar-SA"/>
              </w:rPr>
            </w:r>
            <w:r/>
          </w:p>
          <w:p>
            <w:pPr>
              <w:pStyle w:val="840"/>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（3）对项目需求及项目特性分析存在明显欠缺、部分不符合实际，分析内容简单或偏离实际情况，得2分；</w:t>
            </w:r>
            <w:r>
              <w:rPr>
                <w:rFonts w:hint="eastAsia" w:ascii="宋体" w:hAnsi="宋体" w:eastAsia="宋体" w:cs="宋体"/>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（4）不符合招标文件要求（如未提交分析内容、分析内容与项目完全无关）或未提供的，得0分。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434"/>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3"/>
                <w:sz w:val="24"/>
                <w:szCs w:val="24"/>
                <w:highlight w:val="none"/>
              </w:rPr>
              <w:t xml:space="preserve">组织</w:t>
            </w:r>
            <w:r>
              <w:rPr>
                <w:rFonts w:hint="eastAsia" w:ascii="宋体" w:hAnsi="宋体" w:eastAsia="宋体" w:cs="宋体"/>
                <w:color w:val="000000"/>
                <w:spacing w:val="-3"/>
                <w:sz w:val="24"/>
                <w:szCs w:val="24"/>
                <w:highlight w:val="none"/>
                <w:lang w:eastAsia="zh-CN"/>
              </w:rPr>
              <w:t xml:space="preserve">现</w:t>
            </w:r>
            <w:r>
              <w:rPr>
                <w:rFonts w:hint="eastAsia" w:ascii="宋体" w:hAnsi="宋体" w:eastAsia="宋体" w:cs="宋体"/>
                <w:color w:val="000000"/>
                <w:spacing w:val="-3"/>
                <w:sz w:val="24"/>
                <w:szCs w:val="24"/>
                <w:highlight w:val="none"/>
              </w:rPr>
              <w:t xml:space="preserve">管理</w:t>
            </w:r>
            <w:r>
              <w:rPr>
                <w:rFonts w:hint="eastAsia" w:ascii="宋体" w:hAnsi="宋体" w:eastAsia="宋体" w:cs="宋体"/>
                <w:color w:val="000000"/>
                <w:spacing w:val="-3"/>
                <w:sz w:val="24"/>
                <w:szCs w:val="24"/>
                <w:highlight w:val="none"/>
                <w:lang w:eastAsia="zh-CN"/>
              </w:rPr>
              <w:t xml:space="preserve">制度综合方案</w:t>
            </w:r>
            <w:r>
              <w:rPr>
                <w:rFonts w:hint="eastAsia" w:ascii="宋体" w:hAnsi="宋体" w:eastAsia="宋体" w:cs="宋体"/>
                <w:color w:val="000000"/>
                <w:sz w:val="24"/>
                <w:szCs w:val="24"/>
                <w:highlight w:val="none"/>
                <w:lang w:eastAsia="zh-CN"/>
              </w:rPr>
            </w:r>
            <w:r/>
          </w:p>
        </w:tc>
        <w:tc>
          <w:tcPr>
            <w:tcW w:w="4755" w:type="dxa"/>
            <w:vAlign w:val="center"/>
            <w:textDirection w:val="lrTb"/>
            <w:noWrap w:val="false"/>
          </w:tcPr>
          <w:p>
            <w:pPr>
              <w:pStyle w:val="840"/>
              <w:ind w:righ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委根据投标人针对本项目制定的组织管理方案（包括但不限于：项目组织配备、管理目标、管理模式、以及人工保洁作业管理制度、生活垃圾清运管理制度、绿化养护管理制度、道路机械化清扫保洁管理制度、河道保洁管理制度、公厕保洁管理制度等）进行综合评审：</w:t>
            </w:r>
            <w:r>
              <w:rPr>
                <w:rFonts w:hint="eastAsia" w:ascii="宋体" w:hAnsi="宋体" w:eastAsia="宋体" w:cs="宋体"/>
                <w:b/>
                <w:bCs/>
                <w:color w:val="000000"/>
                <w:sz w:val="24"/>
                <w:szCs w:val="24"/>
                <w:highlight w:val="none"/>
                <w:lang w:val="en-US" w:eastAsia="zh-CN" w:bidi="ar-SA"/>
              </w:rPr>
            </w:r>
            <w:r/>
          </w:p>
          <w:p>
            <w:pPr>
              <w:pStyle w:val="840"/>
              <w:ind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en-US" w:eastAsia="zh-CN" w:bidi="ar-SA"/>
              </w:rPr>
              <w:t xml:space="preserve">方案内容完整、详细、可行，针对性强，能完全满足项目实施要求的，得8分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）方案内容较完整、基本可行，针对性一般，能基本满足项目实施要求但存在一定不足的，得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840"/>
              <w:ind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）方案内容简单、不够完善，针对性弱，难以有效满足项目实施要求的，得2分；</w:t>
            </w:r>
            <w:r>
              <w:rPr>
                <w:rFonts w:hint="eastAsia" w:ascii="宋体" w:hAnsi="宋体" w:eastAsia="宋体" w:cs="宋体"/>
                <w:color w:val="000000"/>
                <w:sz w:val="24"/>
                <w:szCs w:val="24"/>
                <w:highlight w:val="none"/>
                <w:lang w:val="zh-CN"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）不符合招标文件要求（如方案内容与项目无关、明显抄袭等）或未提供的，得0分。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949"/>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2"/>
                <w:sz w:val="24"/>
                <w:szCs w:val="24"/>
                <w:highlight w:val="none"/>
                <w:lang w:eastAsia="zh-CN"/>
              </w:rPr>
              <w:t xml:space="preserve">作业组织方案及流程</w:t>
            </w:r>
            <w:r>
              <w:rPr>
                <w:rFonts w:ascii="宋体" w:hAnsi="宋体" w:eastAsia="宋体" w:cs="宋体"/>
                <w:color w:val="000000"/>
                <w:sz w:val="24"/>
                <w:szCs w:val="24"/>
                <w:highlight w:val="none"/>
                <w:lang w:val="en-US" w:eastAsia="zh-CN"/>
              </w:rPr>
            </w:r>
            <w:r/>
          </w:p>
        </w:tc>
        <w:tc>
          <w:tcPr>
            <w:tcW w:w="4755" w:type="dxa"/>
            <w:vAlign w:val="center"/>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评委根据投标人针对本项目制定的</w:t>
            </w:r>
            <w:r>
              <w:rPr>
                <w:rFonts w:hint="eastAsia" w:ascii="宋体" w:hAnsi="宋体" w:eastAsia="宋体" w:cs="宋体"/>
                <w:b/>
                <w:bCs/>
                <w:color w:val="000000"/>
                <w:sz w:val="24"/>
                <w:szCs w:val="24"/>
                <w:highlight w:val="none"/>
                <w:lang w:val="en-US" w:eastAsia="zh-CN" w:bidi="ar-SA"/>
              </w:rPr>
              <w:t xml:space="preserve">人工作业组织方案及流程（包括但不限于：小区/工业园区人工保洁、小区/工业园区绿化养护、小区/工业园区道路保洁、河道保洁、公厕保洁管理方案等）</w:t>
            </w:r>
            <w:r>
              <w:rPr>
                <w:rFonts w:hint="eastAsia" w:ascii="宋体" w:hAnsi="宋体" w:eastAsia="宋体" w:cs="宋体"/>
                <w:b/>
                <w:bCs/>
                <w:color w:val="000000"/>
                <w:sz w:val="24"/>
                <w:szCs w:val="24"/>
                <w:highlight w:val="none"/>
                <w:lang w:val="en-US" w:eastAsia="zh-CN" w:bidi="ar-SA"/>
              </w:rPr>
              <w:t xml:space="preserve">进行综合评审，评审时需对上述所列各项作业方案逐一考量，综合判断其完整度、可行性及针对性：</w:t>
            </w:r>
            <w:r>
              <w:rPr>
                <w:rFonts w:hint="eastAsia" w:ascii="宋体" w:hAnsi="宋体" w:eastAsia="宋体" w:cs="宋体"/>
                <w:b/>
                <w:bCs/>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（1）方案内容完整、详细、可行，针对性强，能完全满足项目实施要求的，得8分；</w:t>
            </w:r>
            <w:r>
              <w:rPr>
                <w:rFonts w:hint="eastAsia" w:ascii="宋体" w:hAnsi="宋体" w:eastAsia="宋体" w:cs="宋体"/>
                <w:b w:val="0"/>
                <w:bCs w:val="0"/>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（2）方案内容较具体、可行，针对性较强，能基本满足项目实施要求的，得5分；</w:t>
            </w:r>
            <w:r>
              <w:rPr>
                <w:rFonts w:hint="eastAsia" w:ascii="宋体" w:hAnsi="宋体" w:eastAsia="宋体" w:cs="宋体"/>
                <w:b w:val="0"/>
                <w:bCs w:val="0"/>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（3）方案内容较简单，针对性一般，可行性一般，对项目实施要求响应一般的，得2分；</w:t>
            </w:r>
            <w:r>
              <w:rPr>
                <w:rFonts w:hint="eastAsia" w:ascii="宋体" w:hAnsi="宋体" w:eastAsia="宋体" w:cs="宋体"/>
                <w:b w:val="0"/>
                <w:bCs w:val="0"/>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（4）不符合招标文件要求（如方案内容与项目无关、明显抄袭等）或未提供的，得0分。</w:t>
            </w:r>
            <w:r>
              <w:rPr>
                <w:rFonts w:hint="eastAsia" w:ascii="宋体" w:hAnsi="宋体" w:eastAsia="宋体" w:cs="宋体"/>
                <w:b/>
                <w:bCs/>
                <w:color w:val="000000"/>
                <w:sz w:val="24"/>
                <w:szCs w:val="24"/>
                <w:highlight w:val="none"/>
                <w:lang w:val="en-US" w:eastAsia="zh-CN" w:bidi="ar-SA"/>
              </w:rPr>
            </w:r>
            <w:r/>
          </w:p>
        </w:tc>
        <w:tc>
          <w:tcPr>
            <w:tcW w:w="614" w:type="dxa"/>
            <w:vAlign w:val="center"/>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949"/>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垃圾收集运输作业方案</w:t>
            </w:r>
            <w:r>
              <w:rPr>
                <w:rFonts w:hint="eastAsia" w:ascii="宋体" w:hAnsi="宋体" w:eastAsia="宋体" w:cs="宋体"/>
                <w:color w:val="000000"/>
                <w:spacing w:val="2"/>
                <w:sz w:val="24"/>
                <w:szCs w:val="24"/>
                <w:highlight w:val="none"/>
                <w:lang w:eastAsia="zh-CN"/>
              </w:rPr>
            </w:r>
            <w:r/>
          </w:p>
        </w:tc>
        <w:tc>
          <w:tcPr>
            <w:tcW w:w="4755" w:type="dxa"/>
            <w:vAlign w:val="center"/>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委根据投标人针对本项目制定的垃圾收集运输作业组织方案及流程（包括但不限于垃圾收集流程、运输路线规划、车辆配置、密闭运输、防滴漏措施、日产日清、应急处理等方面的完整性与可操作性）进行综合评审：</w:t>
            </w:r>
            <w:r>
              <w:rPr>
                <w:rFonts w:hint="eastAsia" w:ascii="宋体" w:hAnsi="宋体" w:eastAsia="宋体" w:cs="宋体"/>
                <w:b/>
                <w:bCs/>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（1）实施方案详尽、精细，科学合理，操作性强，能完全满足项目垃圾收集运输要求的，得8分；</w:t>
            </w:r>
            <w:r>
              <w:rPr>
                <w:rFonts w:hint="eastAsia" w:ascii="宋体" w:hAnsi="宋体" w:eastAsia="宋体" w:cs="宋体"/>
                <w:b w:val="0"/>
                <w:bCs w:val="0"/>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（2）实施方案较为全面，较详细合理、规范科学，能基本满足项目要求但存在少量不足的，得5分；</w:t>
            </w:r>
            <w:r>
              <w:rPr>
                <w:rFonts w:hint="eastAsia" w:ascii="宋体" w:hAnsi="宋体" w:eastAsia="宋体" w:cs="宋体"/>
                <w:b w:val="0"/>
                <w:bCs w:val="0"/>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（3）实施方案简单，操作性一般，内容不够完善，对项目要求响应有限的，得2分；</w:t>
            </w:r>
            <w:r>
              <w:rPr>
                <w:rFonts w:hint="eastAsia" w:ascii="宋体" w:hAnsi="宋体" w:eastAsia="宋体" w:cs="宋体"/>
                <w:b w:val="0"/>
                <w:bCs w:val="0"/>
                <w:color w:val="000000"/>
                <w:sz w:val="24"/>
                <w:szCs w:val="24"/>
                <w:highlight w:val="none"/>
                <w:lang w:val="en-US" w:eastAsia="zh-CN" w:bidi="ar-SA"/>
              </w:rPr>
            </w:r>
            <w:r/>
          </w:p>
          <w:p>
            <w:pPr>
              <w:pStyle w:val="840"/>
              <w:ind w:left="0" w:right="0" w:firstLine="0"/>
              <w:jc w:val="both"/>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（4）未提供方案或方案内容与项目完全无关的，得0分。</w:t>
            </w:r>
            <w:r>
              <w:rPr>
                <w:rFonts w:ascii="宋体" w:hAnsi="宋体" w:eastAsia="宋体" w:cs="宋体"/>
                <w:b w:val="0"/>
                <w:bCs w:val="0"/>
                <w:color w:val="000000"/>
                <w:sz w:val="24"/>
                <w:szCs w:val="24"/>
                <w:highlight w:val="none"/>
                <w:lang w:val="en-US" w:eastAsia="zh-CN" w:bidi="ar-SA"/>
              </w:rPr>
            </w:r>
            <w:r/>
          </w:p>
        </w:tc>
        <w:tc>
          <w:tcPr>
            <w:tcW w:w="614" w:type="dxa"/>
            <w:vAlign w:val="center"/>
            <w:textDirection w:val="lrTb"/>
            <w:noWrap w:val="false"/>
          </w:tcPr>
          <w:p>
            <w:pPr>
              <w:pStyle w:val="840"/>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332"/>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安全</w:t>
            </w:r>
            <w:r>
              <w:rPr>
                <w:rFonts w:hint="eastAsia" w:ascii="宋体" w:hAnsi="宋体" w:eastAsia="宋体" w:cs="宋体"/>
                <w:color w:val="000000"/>
                <w:spacing w:val="-2"/>
                <w:sz w:val="24"/>
                <w:szCs w:val="24"/>
                <w:highlight w:val="none"/>
              </w:rPr>
              <w:t xml:space="preserve">文明作业</w:t>
            </w:r>
            <w:r>
              <w:rPr>
                <w:rFonts w:hint="eastAsia" w:ascii="宋体" w:hAnsi="宋体" w:eastAsia="宋体" w:cs="宋体"/>
                <w:color w:val="000000"/>
                <w:spacing w:val="-2"/>
                <w:sz w:val="24"/>
                <w:szCs w:val="24"/>
                <w:highlight w:val="none"/>
                <w:lang w:val="en-US" w:eastAsia="zh-CN"/>
              </w:rPr>
              <w:t xml:space="preserve">及恶劣天气应急预案</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840"/>
              <w:ind w:left="0" w:right="0" w:firstLine="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评委根据投标人针对本项目制定的安全</w:t>
            </w:r>
            <w:r>
              <w:rPr>
                <w:rFonts w:hint="eastAsia" w:ascii="宋体" w:hAnsi="宋体" w:eastAsia="宋体" w:cs="宋体"/>
                <w:b/>
                <w:bCs/>
                <w:color w:val="000000"/>
                <w:sz w:val="24"/>
                <w:szCs w:val="24"/>
                <w:highlight w:val="none"/>
                <w:lang w:val="en-US" w:eastAsia="zh-CN" w:bidi="ar-SA"/>
              </w:rPr>
              <w:t xml:space="preserve">文明作业实施方案及保障措施（包括但不限于</w:t>
            </w:r>
            <w:r>
              <w:rPr>
                <w:rFonts w:hint="eastAsia" w:ascii="宋体" w:hAnsi="宋体" w:eastAsia="宋体" w:cs="宋体"/>
                <w:b/>
                <w:bCs/>
                <w:color w:val="000000"/>
                <w:sz w:val="24"/>
                <w:szCs w:val="24"/>
                <w:highlight w:val="none"/>
                <w:lang w:val="en-US" w:eastAsia="zh-CN" w:bidi="ar-SA"/>
              </w:rPr>
              <w:t xml:space="preserve">作业人员安全防护（如河道保洁防溺水）、作业现场警示隔离、噪音粉尘控制、垃圾密闭运输防遗撒等）以及恶劣天气应急预案（包括但不限于台风、暴雨、高温、冰冻等极端天气下的作业调整、人员安全防护、设备应急调配、积水清理、防滑防冻措施等）进行综合评审：</w:t>
            </w:r>
            <w:r>
              <w:rPr>
                <w:rFonts w:hint="eastAsia" w:ascii="宋体" w:hAnsi="宋体" w:eastAsia="宋体" w:cs="宋体"/>
                <w:b/>
                <w:bCs/>
                <w:color w:val="000000"/>
                <w:sz w:val="24"/>
                <w:szCs w:val="24"/>
                <w:highlight w:val="none"/>
                <w:lang w:val="en-US" w:eastAsia="zh-CN" w:bidi="ar-SA"/>
              </w:rPr>
            </w:r>
            <w:r/>
          </w:p>
          <w:p>
            <w:pPr>
              <w:pStyle w:val="840"/>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en-US" w:eastAsia="zh-CN"/>
              </w:rPr>
              <w:t xml:space="preserve">措施完整、详细、可行，针对性强，能完全满足项目安全文明作业及恶劣天气应急要求的，得8分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en-US" w:eastAsia="zh-CN"/>
              </w:rPr>
              <w:t xml:space="preserve">措施较具体、可行，针对性较强，能基本满足项目安全文明作业及应急要求的，得5分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（3）</w:t>
            </w:r>
            <w:r>
              <w:rPr>
                <w:rFonts w:hint="eastAsia" w:ascii="宋体" w:hAnsi="宋体" w:eastAsia="宋体" w:cs="宋体"/>
                <w:color w:val="000000"/>
                <w:sz w:val="24"/>
                <w:szCs w:val="24"/>
                <w:highlight w:val="none"/>
                <w:lang w:val="en-US" w:eastAsia="zh-CN"/>
              </w:rPr>
              <w:t xml:space="preserve">措施内容较简单，针对性不强，对项目实施要求响应一般的，得2分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（4）不符合招标文件要求（如措施与项目无关、明显抄袭等）或未提供的，得0分。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109" w:type="dxa"/>
            <w:vAlign w:val="top"/>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596"/>
        </w:trPr>
        <w:tc>
          <w:tcPr>
            <w:tcW w:w="741"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迎接重大</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活动和检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4"/>
                <w:sz w:val="24"/>
                <w:szCs w:val="24"/>
                <w:highlight w:val="none"/>
              </w:rPr>
              <w:t xml:space="preserve">查评比的</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保障措施</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rPr>
              <w:t xml:space="preserve">评委根据</w:t>
            </w:r>
            <w:r>
              <w:rPr>
                <w:rFonts w:hint="eastAsia" w:ascii="宋体" w:hAnsi="宋体" w:eastAsia="宋体" w:cs="宋体"/>
                <w:b/>
                <w:bCs/>
                <w:color w:val="000000"/>
                <w:spacing w:val="-1"/>
                <w:sz w:val="24"/>
                <w:szCs w:val="24"/>
                <w:highlight w:val="none"/>
                <w:lang w:eastAsia="zh-CN"/>
              </w:rPr>
              <w:t xml:space="preserve">投标人</w:t>
            </w:r>
            <w:r>
              <w:rPr>
                <w:rFonts w:hint="eastAsia" w:ascii="宋体" w:hAnsi="宋体" w:eastAsia="宋体" w:cs="宋体"/>
                <w:b/>
                <w:bCs/>
                <w:color w:val="000000"/>
                <w:spacing w:val="-1"/>
                <w:sz w:val="24"/>
                <w:szCs w:val="24"/>
                <w:highlight w:val="none"/>
              </w:rPr>
              <w:t xml:space="preserve">针对本项目制定的迎接重大活动和检查评比的保障措施</w:t>
            </w:r>
            <w:r>
              <w:rPr>
                <w:rFonts w:hint="eastAsia" w:ascii="宋体" w:hAnsi="宋体" w:eastAsia="宋体" w:cs="宋体"/>
                <w:b/>
                <w:bCs/>
                <w:color w:val="000000"/>
                <w:spacing w:val="-1"/>
                <w:sz w:val="24"/>
                <w:szCs w:val="24"/>
                <w:highlight w:val="none"/>
                <w:lang w:eastAsia="zh-CN"/>
              </w:rPr>
              <w:t xml:space="preserve">（包括但不限于</w:t>
            </w:r>
            <w:r>
              <w:rPr>
                <w:rFonts w:hint="eastAsia" w:ascii="宋体" w:hAnsi="宋体" w:eastAsia="宋体" w:cs="宋体"/>
                <w:b/>
                <w:bCs/>
                <w:color w:val="000000"/>
                <w:spacing w:val="-1"/>
                <w:sz w:val="24"/>
                <w:szCs w:val="24"/>
                <w:highlight w:val="none"/>
              </w:rPr>
              <w:t xml:space="preserve">快速响应机制、重点区域（如河道、公厕、主干道等）突击保洁方案、人员与设备调配能力、与甲方及管理部门的联动协调机制等</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rPr>
              <w:t xml:space="preserve">进行综合评审：</w:t>
            </w:r>
            <w:r>
              <w:rPr>
                <w:rFonts w:hint="eastAsia" w:ascii="宋体" w:hAnsi="宋体" w:eastAsia="宋体" w:cs="宋体"/>
                <w:color w:val="000000"/>
                <w:spacing w:val="-1"/>
                <w:sz w:val="24"/>
                <w:szCs w:val="24"/>
                <w:highlight w:val="none"/>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（1）措施完整、详细、可行，针对性强，能完全满足项目迎接重大活动和检查评比要求的，得</w:t>
            </w:r>
            <w:r>
              <w:rPr>
                <w:rFonts w:hint="eastAsia" w:ascii="宋体" w:hAnsi="宋体" w:eastAsia="宋体" w:cs="宋体"/>
                <w:color w:val="000000"/>
                <w:spacing w:val="-1"/>
                <w:sz w:val="24"/>
                <w:szCs w:val="24"/>
                <w:highlight w:val="none"/>
                <w:lang w:val="en-US" w:eastAsia="zh-CN"/>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（2）措施较具体、可行，针对性较强，能基本满足项目迎接重大活动和检查评比要求的，得</w:t>
            </w:r>
            <w:r>
              <w:rPr>
                <w:rFonts w:hint="eastAsia" w:ascii="宋体" w:hAnsi="宋体" w:eastAsia="宋体" w:cs="宋体"/>
                <w:color w:val="000000"/>
                <w:spacing w:val="-1"/>
                <w:sz w:val="24"/>
                <w:szCs w:val="24"/>
                <w:highlight w:val="none"/>
                <w:lang w:val="en-US" w:eastAsia="zh-CN"/>
              </w:rPr>
              <w:t xml:space="preserve">4</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（3）措施内容较简单，针对性不强，对项目实施要求响应一般的，得</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（4）不符合招标文件要求（如措施与项目无关、明显抄袭等）或未提供的，得0分。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09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334"/>
        </w:trPr>
        <w:tc>
          <w:tcPr>
            <w:tcW w:w="741" w:type="dxa"/>
            <w:vAlign w:val="center"/>
            <w:textDirection w:val="lrTb"/>
            <w:noWrap w:val="false"/>
          </w:tcPr>
          <w:p>
            <w:pPr>
              <w:pStyle w:val="840"/>
              <w:jc w:val="center"/>
              <w:spacing w:before="65" w:line="183"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righ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节假日保洁作业方案</w:t>
            </w:r>
            <w:r>
              <w:rPr>
                <w:rFonts w:ascii="宋体" w:hAnsi="宋体" w:eastAsia="宋体" w:cs="宋体"/>
                <w:color w:val="000000"/>
                <w:sz w:val="24"/>
                <w:szCs w:val="24"/>
                <w:highlight w:val="none"/>
              </w:rPr>
            </w:r>
            <w:r/>
          </w:p>
        </w:tc>
        <w:tc>
          <w:tcPr>
            <w:tcW w:w="4755" w:type="dxa"/>
            <w:vAlign w:val="center"/>
            <w:textDirection w:val="lrTb"/>
            <w:noWrap w:val="false"/>
          </w:tcPr>
          <w:p>
            <w:pPr>
              <w:pStyle w:val="840"/>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评委根据投标人针对本项目制定的</w:t>
            </w:r>
            <w:r>
              <w:rPr>
                <w:rFonts w:hint="eastAsia" w:ascii="宋体" w:hAnsi="宋体" w:eastAsia="宋体" w:cs="宋体"/>
                <w:b/>
                <w:bCs/>
                <w:color w:val="000000"/>
                <w:sz w:val="24"/>
                <w:szCs w:val="24"/>
                <w:highlight w:val="none"/>
                <w:lang w:val="en-US" w:eastAsia="zh-CN" w:bidi="ar-SA"/>
              </w:rPr>
              <w:t xml:space="preserve">节假日保洁作业方案（包括但不限于</w:t>
            </w:r>
            <w:r>
              <w:rPr>
                <w:rFonts w:hint="eastAsia" w:ascii="宋体" w:hAnsi="宋体" w:eastAsia="宋体" w:cs="宋体"/>
                <w:b/>
                <w:bCs/>
                <w:color w:val="000000"/>
                <w:sz w:val="24"/>
                <w:szCs w:val="24"/>
                <w:highlight w:val="none"/>
                <w:lang w:val="en-US" w:eastAsia="zh-CN" w:bidi="ar-SA"/>
              </w:rPr>
              <w:t xml:space="preserve">节假日期间人员排班与备勤、重点区域（小区/工业园区出入口、广场、公厕、河道周边等）保洁频次增加、垃圾清运调度、突发事件快速响应及与物业/社区的协调配合等内容）进行综合评审：</w:t>
            </w:r>
            <w:r>
              <w:rPr>
                <w:rFonts w:hint="eastAsia" w:ascii="宋体" w:hAnsi="宋体" w:eastAsia="宋体" w:cs="宋体"/>
                <w:color w:val="000000"/>
                <w:sz w:val="24"/>
                <w:szCs w:val="24"/>
                <w:highlight w:val="none"/>
                <w:lang w:val="en-US" w:eastAsia="zh-CN" w:bidi="ar-SA"/>
              </w:rPr>
            </w:r>
            <w:r/>
          </w:p>
          <w:p>
            <w:pPr>
              <w:pStyle w:val="840"/>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en-US" w:eastAsia="zh-CN" w:bidi="ar-SA"/>
              </w:rPr>
              <w:t xml:space="preserve">方案内容完整、详细、可行，针对性强，能完全满足项目节假日保洁要求的，得6分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en-US" w:eastAsia="zh-CN" w:bidi="ar-SA"/>
              </w:rPr>
              <w:t xml:space="preserve">方案内容较具体、可行，针对性较强，能基本满足项目节假日保洁要求的，得4分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（3）</w:t>
            </w:r>
            <w:r>
              <w:rPr>
                <w:rFonts w:hint="eastAsia" w:ascii="宋体" w:hAnsi="宋体" w:eastAsia="宋体" w:cs="宋体"/>
                <w:color w:val="000000"/>
                <w:sz w:val="24"/>
                <w:szCs w:val="24"/>
                <w:highlight w:val="none"/>
                <w:lang w:val="en-US" w:eastAsia="zh-CN" w:bidi="ar-SA"/>
              </w:rPr>
              <w:t xml:space="preserve">方案内容较简单，针对性不强，对项目实施要求响应一般的，得2分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0"/>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（4）不符合招标文件要求（如方案与项目无关、明显抄袭等）或未提供的，得0分。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97"/>
              <w:jc w:val="both"/>
              <w:spacing w:line="367" w:lineRule="auto"/>
              <w:rPr>
                <w:color w:val="000000"/>
                <w:sz w:val="24"/>
                <w:szCs w:val="24"/>
                <w:highlight w:val="none"/>
              </w:rPr>
            </w:pPr>
            <w:r>
              <w:rPr>
                <w:color w:val="000000"/>
                <w:sz w:val="24"/>
                <w:szCs w:val="24"/>
                <w:highlight w:val="none"/>
              </w:rPr>
            </w:r>
            <w:r/>
          </w:p>
          <w:p>
            <w:pPr>
              <w:pStyle w:val="840"/>
              <w:ind w:left="87"/>
              <w:jc w:val="center"/>
              <w:spacing w:before="65" w:line="183"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097"/>
              <w:rPr>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color w:val="000000"/>
                <w:sz w:val="24"/>
                <w:szCs w:val="24"/>
                <w:highlight w:val="none"/>
              </w:rPr>
            </w:r>
            <w:r/>
          </w:p>
        </w:tc>
      </w:tr>
      <w:tr>
        <w:trPr>
          <w:gridAfter w:val="1"/>
          <w:trHeight w:val="334"/>
        </w:trPr>
        <w:tc>
          <w:tcPr>
            <w:tcW w:w="741" w:type="dxa"/>
            <w:vAlign w:val="center"/>
            <w:textDirection w:val="lrTb"/>
            <w:noWrap w:val="false"/>
          </w:tcPr>
          <w:p>
            <w:pPr>
              <w:pStyle w:val="840"/>
              <w:jc w:val="center"/>
              <w:spacing w:before="65" w:line="183"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shd w:val="clear" w:color="auto" w:fill="ffffff"/>
            <w:tcW w:w="1150" w:type="dxa"/>
            <w:vAlign w:val="center"/>
            <w:textDirection w:val="lrTb"/>
            <w:noWrap w:val="false"/>
          </w:tcPr>
          <w:p>
            <w:pPr>
              <w:pStyle w:val="840"/>
              <w:ind w:right="0"/>
              <w:jc w:val="center"/>
              <w:keepLines w:val="0"/>
              <w:keepNext w:val="0"/>
              <w:pageBreakBefore w:val="0"/>
              <w:spacing w:line="240" w:lineRule="auto"/>
              <w:widowControl w:val="off"/>
              <w:rPr>
                <w:rFonts w:hint="eastAsia" w:ascii="var(--dsw-font-markdown-table)" w:hAnsi="var(--dsw-font-markdown-table)" w:eastAsia="var(--dsw-font-markdown-table)" w:cs="var(--dsw-font-markdown-table)"/>
                <w:i w:val="0"/>
                <w:iCs w:val="0"/>
                <w:caps w:val="0"/>
                <w:color w:val="000000"/>
                <w:spacing w:val="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服务质量保障机制</w:t>
            </w:r>
            <w:r>
              <w:rPr>
                <w:rFonts w:hint="eastAsia" w:ascii="var(--dsw-font-markdown-table)" w:hAnsi="var(--dsw-font-markdown-table)" w:eastAsia="var(--dsw-font-markdown-table)" w:cs="var(--dsw-font-markdown-table)"/>
                <w:i w:val="0"/>
                <w:iCs w:val="0"/>
                <w:caps w:val="0"/>
                <w:color w:val="000000"/>
                <w:spacing w:val="0"/>
                <w:sz w:val="24"/>
                <w:szCs w:val="24"/>
                <w:highlight w:val="none"/>
                <w:lang w:val="en-US" w:eastAsia="zh-CN" w:bidi="ar-SA"/>
              </w:rPr>
            </w:r>
            <w:r/>
          </w:p>
        </w:tc>
        <w:tc>
          <w:tcPr>
            <w:tcW w:w="4755" w:type="dxa"/>
            <w:vAlign w:val="center"/>
            <w:textDirection w:val="lrTb"/>
            <w:noWrap w:val="false"/>
          </w:tcPr>
          <w:p>
            <w:pPr>
              <w:pStyle w:val="840"/>
              <w:ind w:left="0" w:right="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评委根据投标人针对本项目制定的服务质量保障机制（包括但不限于日常质量巡查与考核制度、业主投诉响应与闭环整改流程、服务不达标的整改或扣款承诺、定期满意度测评与改进机制等）进行综合评审：</w:t>
            </w:r>
            <w:r>
              <w:rPr>
                <w:rFonts w:hint="eastAsia" w:ascii="宋体" w:hAnsi="宋体" w:eastAsia="宋体" w:cs="宋体"/>
                <w:b/>
                <w:bCs/>
                <w:color w:val="000000"/>
                <w:sz w:val="24"/>
                <w:szCs w:val="24"/>
                <w:highlight w:val="none"/>
                <w:lang w:val="zh-CN" w:eastAsia="zh-CN" w:bidi="ar-SA"/>
              </w:rPr>
            </w:r>
            <w:r/>
          </w:p>
          <w:p>
            <w:pPr>
              <w:pStyle w:val="840"/>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（1）机制完整、详细、可行，有明确的响应时限和整改闭环流程，能有效保障服务质量的，得9分 ；</w:t>
            </w:r>
            <w:r>
              <w:rPr>
                <w:rFonts w:hint="eastAsia" w:ascii="宋体" w:hAnsi="宋体" w:eastAsia="宋体" w:cs="宋体"/>
                <w:color w:val="000000"/>
                <w:sz w:val="24"/>
                <w:szCs w:val="24"/>
                <w:highlight w:val="none"/>
                <w:lang w:val="zh-CN" w:eastAsia="zh-CN" w:bidi="ar-SA"/>
              </w:rPr>
            </w:r>
            <w:r/>
          </w:p>
          <w:p>
            <w:pPr>
              <w:pStyle w:val="840"/>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（2）机制较完整、可行，能基本保障服务质量但存在一定不足的，得</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CN" w:eastAsia="zh-CN" w:bidi="ar-SA"/>
              </w:rPr>
              <w:t xml:space="preserve">分 ；</w:t>
            </w:r>
            <w:r>
              <w:rPr>
                <w:rFonts w:hint="eastAsia" w:ascii="宋体" w:hAnsi="宋体" w:eastAsia="宋体" w:cs="宋体"/>
                <w:color w:val="000000"/>
                <w:sz w:val="24"/>
                <w:szCs w:val="24"/>
                <w:highlight w:val="none"/>
                <w:lang w:val="zh-CN" w:eastAsia="zh-CN" w:bidi="ar-SA"/>
              </w:rPr>
            </w:r>
            <w:r/>
          </w:p>
          <w:p>
            <w:pPr>
              <w:pStyle w:val="840"/>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（3）机制简单，可行性或响应性一般，得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840"/>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（4）未提供或内容与项目无关的，得0分。</w:t>
            </w:r>
            <w:r>
              <w:rPr>
                <w:rFonts w:hint="eastAsia" w:ascii="宋体" w:hAnsi="宋体" w:eastAsia="宋体" w:cs="宋体"/>
                <w:color w:val="000000"/>
                <w:sz w:val="24"/>
                <w:szCs w:val="24"/>
                <w:highlight w:val="none"/>
                <w:lang w:val="zh-CN" w:eastAsia="zh-CN" w:bidi="ar-SA"/>
              </w:rPr>
            </w:r>
            <w:r/>
          </w:p>
        </w:tc>
        <w:tc>
          <w:tcPr>
            <w:tcW w:w="614" w:type="dxa"/>
            <w:vAlign w:val="center"/>
            <w:textDirection w:val="lrTb"/>
            <w:noWrap w:val="false"/>
          </w:tcPr>
          <w:p>
            <w:pPr>
              <w:pStyle w:val="840"/>
              <w:ind w:left="87"/>
              <w:jc w:val="center"/>
              <w:spacing w:before="65" w:line="183"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097"/>
              <w:rPr>
                <w:rFonts w:hint="eastAsia" w:ascii="宋体" w:hAnsi="宋体" w:eastAsia="宋体" w:cs="宋体"/>
                <w:color w:val="000000"/>
                <w:sz w:val="24"/>
                <w:szCs w:val="24"/>
                <w:highlight w:val="none"/>
              </w:rPr>
            </w:pPr>
            <w:r>
              <w:rPr>
                <w:rFonts w:hint="eastAsia"/>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1256"/>
        </w:trPr>
        <w:tc>
          <w:tcPr>
            <w:tcW w:w="741" w:type="dxa"/>
            <w:vAlign w:val="center"/>
            <w:textDirection w:val="lrTb"/>
            <w:noWrap w:val="false"/>
          </w:tcPr>
          <w:p>
            <w:pPr>
              <w:pStyle w:val="840"/>
              <w:jc w:val="center"/>
              <w:spacing w:before="65" w:line="18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840"/>
              <w:ind w:right="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合理化建议</w:t>
            </w:r>
            <w:r>
              <w:rPr>
                <w:rFonts w:hint="eastAsia" w:ascii="宋体" w:hAnsi="宋体" w:eastAsia="宋体" w:cs="宋体"/>
                <w:color w:val="000000"/>
                <w:sz w:val="24"/>
                <w:szCs w:val="24"/>
                <w:highlight w:val="none"/>
                <w:lang w:eastAsia="zh-CN"/>
              </w:rPr>
            </w:r>
            <w:r/>
          </w:p>
        </w:tc>
        <w:tc>
          <w:tcPr>
            <w:tcW w:w="4755" w:type="dxa"/>
            <w:vAlign w:val="center"/>
            <w:textDirection w:val="lrTb"/>
            <w:noWrap w:val="false"/>
          </w:tcPr>
          <w:p>
            <w:pPr>
              <w:pStyle w:val="840"/>
              <w:ind w:left="0" w:right="0" w:firstLine="0"/>
              <w:jc w:val="both"/>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评委根据投标人针对本项目保洁服务内容提出的合理化建议（包括但不限于节能降耗、作业效率提升、安全风险防控、应急预案优化、社区协调沟通等角度）的针对性、创新性、可操作性及预期效益进行综合评审：</w:t>
            </w:r>
            <w:r>
              <w:rPr>
                <w:rFonts w:hint="eastAsia" w:ascii="宋体" w:hAnsi="宋体" w:eastAsia="宋体" w:cs="宋体"/>
                <w:b/>
                <w:bCs/>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1）提出3条及以上合理化建议，且建议内容紧密结合本项目实际（如河道保洁安全、垃圾清运路线优化、节假日/恶劣天气效率提升、节能降耗、与物业/社区联动等），创新性强、可操作性高、预期效益明显，得5分；</w:t>
            </w:r>
            <w:r>
              <w:rPr>
                <w:rFonts w:hint="eastAsia"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（2）提出2-3条合理化建议，建议内容能够结合本项目实际，具有一定的可操作性和预期效益，但创新性或细节有所不足，得3分；</w:t>
            </w:r>
            <w:r>
              <w:rPr>
                <w:rFonts w:hint="eastAsia"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（3）提出1-2条合理化建议，建议内容与本项目关联度一般，或可操作性较弱，或过于简单、缺乏实质效益，得1分；</w:t>
            </w:r>
            <w:r>
              <w:rPr>
                <w:rFonts w:hint="eastAsia" w:ascii="宋体" w:hAnsi="宋体" w:eastAsia="宋体" w:cs="宋体"/>
                <w:color w:val="000000"/>
                <w:spacing w:val="-1"/>
                <w:sz w:val="24"/>
                <w:szCs w:val="24"/>
                <w:highlight w:val="none"/>
                <w:lang w:val="en-US" w:eastAsia="zh-CN"/>
              </w:rPr>
            </w:r>
            <w:r/>
          </w:p>
          <w:p>
            <w:pPr>
              <w:pStyle w:val="840"/>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（4）未提出任何合理化建议，或所提建议与本项目完全无关、明显不可行、空泛无实质内容，得0分。</w:t>
            </w:r>
            <w:r>
              <w:rPr>
                <w:rFonts w:ascii="宋体" w:hAnsi="宋体" w:eastAsia="宋体" w:cs="宋体"/>
                <w:color w:val="000000"/>
                <w:spacing w:val="-1"/>
                <w:sz w:val="24"/>
                <w:szCs w:val="24"/>
                <w:highlight w:val="none"/>
                <w:lang w:val="en-US" w:eastAsia="zh-CN"/>
              </w:rPr>
            </w:r>
            <w:r/>
          </w:p>
        </w:tc>
        <w:tc>
          <w:tcPr>
            <w:tcW w:w="614" w:type="dxa"/>
            <w:vAlign w:val="center"/>
            <w:textDirection w:val="lrTb"/>
            <w:noWrap w:val="false"/>
          </w:tcPr>
          <w:p>
            <w:pPr>
              <w:pStyle w:val="840"/>
              <w:jc w:val="center"/>
              <w:spacing w:before="65" w:line="183"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097"/>
              <w:rPr>
                <w:color w:val="000000"/>
                <w:sz w:val="24"/>
                <w:szCs w:val="24"/>
                <w:highlight w:val="none"/>
              </w:rPr>
            </w:pPr>
            <w:r>
              <w:rPr>
                <w:rFonts w:hint="eastAsia"/>
                <w:color w:val="000000"/>
                <w:sz w:val="24"/>
                <w:szCs w:val="24"/>
                <w:highlight w:val="none"/>
              </w:rPr>
              <w:t xml:space="preserve">电子投标文件中提供相关方案文本并加盖投标人公章</w:t>
            </w:r>
            <w:r>
              <w:rPr>
                <w:color w:val="000000"/>
                <w:sz w:val="24"/>
                <w:szCs w:val="24"/>
                <w:highlight w:val="none"/>
              </w:rPr>
            </w:r>
            <w:r/>
          </w:p>
        </w:tc>
      </w:tr>
    </w:tbl>
    <w:p>
      <w:pPr>
        <w:pStyle w:val="840"/>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注：1.评分细则中要求提供的证明文件及资料等在投标文件中提供</w:t>
      </w:r>
      <w:r>
        <w:rPr>
          <w:rFonts w:hint="eastAsia" w:ascii="宋体" w:hAnsi="宋体" w:cs="宋体"/>
          <w:bCs/>
          <w:color w:val="000000"/>
          <w:sz w:val="24"/>
          <w:highlight w:val="none"/>
          <w:lang w:eastAsia="zh-CN"/>
        </w:rPr>
        <w:t xml:space="preserve">电子扫描</w:t>
      </w:r>
      <w:r>
        <w:rPr>
          <w:rFonts w:hint="eastAsia" w:ascii="宋体" w:hAnsi="宋体" w:cs="宋体"/>
          <w:bCs/>
          <w:color w:val="000000"/>
          <w:sz w:val="24"/>
          <w:highlight w:val="none"/>
        </w:rPr>
        <w:t xml:space="preserve">件，并加盖公章。</w:t>
      </w:r>
      <w:r>
        <w:rPr>
          <w:rFonts w:ascii="宋体" w:hAnsi="宋体" w:cs="宋体"/>
          <w:bCs/>
          <w:color w:val="000000"/>
          <w:sz w:val="24"/>
          <w:highlight w:val="none"/>
        </w:rPr>
      </w:r>
      <w:r/>
    </w:p>
    <w:p>
      <w:pPr>
        <w:pStyle w:val="840"/>
        <w:ind w:firstLine="96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2.评审时，未能按以上要求提供相应证明的，不作为评审依据，不得分。</w:t>
      </w:r>
      <w:r>
        <w:rPr>
          <w:rFonts w:ascii="宋体" w:hAnsi="宋体" w:cs="宋体"/>
          <w:bCs/>
          <w:color w:val="000000"/>
          <w:sz w:val="24"/>
          <w:highlight w:val="none"/>
        </w:rPr>
      </w:r>
      <w:r/>
    </w:p>
    <w:p>
      <w:pPr>
        <w:pStyle w:val="840"/>
        <w:ind w:firstLine="960"/>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cs="宋体"/>
          <w:bCs/>
          <w:color w:val="000000"/>
          <w:sz w:val="24"/>
          <w:highlight w:val="none"/>
        </w:rPr>
      </w:r>
      <w:r/>
    </w:p>
    <w:p>
      <w:pPr>
        <w:pStyle w:val="84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3548"/>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84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采购内容</w:t>
      </w:r>
      <w:r>
        <w:rPr>
          <w:rFonts w:hint="eastAsia" w:ascii="宋体" w:hAnsi="宋体" w:eastAsia="宋体" w:cs="宋体"/>
          <w:b/>
          <w:bCs/>
          <w:color w:val="000000"/>
          <w:sz w:val="24"/>
          <w:szCs w:val="24"/>
          <w:highlight w:val="none"/>
          <w:lang w:eastAsia="zh-CN"/>
        </w:rPr>
      </w:r>
      <w:r/>
    </w:p>
    <w:p>
      <w:pPr>
        <w:pStyle w:val="84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常州市新北区三井街道清扫保洁服务项目，包括但不限于汇丰二村、三村、王家新村、兰翔二村保洁服务；汇丰二村、三村范围内绿地植物养护等绿化日常管理工作；汇丰二村、三村内河的河道保洁；河海工业园环卫作业；燕兴万家塘的公厕保洁；具体保洁、绿化养护、河道保洁等服务范围以三井街道、相关社区指定范围为准。</w:t>
      </w:r>
      <w:r>
        <w:rPr>
          <w:rFonts w:hint="eastAsia" w:ascii="宋体" w:hAnsi="宋体" w:eastAsia="宋体" w:cs="宋体"/>
          <w:b w:val="0"/>
          <w:bCs w:val="0"/>
          <w:color w:val="000000"/>
          <w:sz w:val="24"/>
          <w:szCs w:val="24"/>
          <w:highlight w:val="none"/>
          <w:lang w:eastAsia="zh-CN"/>
        </w:rPr>
      </w:r>
      <w:r/>
    </w:p>
    <w:p>
      <w:pPr>
        <w:pStyle w:val="84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2、采购限价：480万元/三年（160万元/年）</w:t>
      </w:r>
      <w:r>
        <w:rPr>
          <w:rFonts w:hint="eastAsia" w:ascii="宋体" w:hAnsi="宋体" w:eastAsia="宋体" w:cs="宋体"/>
          <w:b w:val="0"/>
          <w:bCs w:val="0"/>
          <w:color w:val="000000"/>
          <w:sz w:val="24"/>
          <w:szCs w:val="24"/>
          <w:highlight w:val="none"/>
          <w:lang w:val="en-US" w:eastAsia="zh-CN"/>
        </w:rPr>
      </w:r>
      <w:r/>
    </w:p>
    <w:p>
      <w:pPr>
        <w:pStyle w:val="840"/>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合同履行期限：合同一年一签，服务期限开始时间从接到招标人通知之日起开始计算。第一年的前三个月为试用期，试用期满经甲方考核合格后，本合同有效。一年合同期满经甲方考核满意后，可签订下一年合同，最多续签二次。</w:t>
      </w:r>
      <w:r>
        <w:rPr>
          <w:rFonts w:ascii="宋体" w:hAnsi="宋体" w:eastAsia="宋体" w:cs="宋体"/>
          <w:b w:val="0"/>
          <w:bCs w:val="0"/>
          <w:color w:val="000000"/>
          <w:sz w:val="24"/>
          <w:szCs w:val="24"/>
          <w:highlight w:val="none"/>
          <w:lang w:val="en-US" w:eastAsia="zh-CN"/>
        </w:rPr>
      </w:r>
      <w:r/>
    </w:p>
    <w:p>
      <w:pPr>
        <w:pStyle w:val="840"/>
        <w:ind w:firstLine="482"/>
        <w:pageBreakBefore w:val="0"/>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rPr>
        <w:t xml:space="preserve">二、保洁内容</w:t>
      </w:r>
      <w:r>
        <w:rPr>
          <w:rFonts w:hint="eastAsia" w:ascii="宋体" w:hAnsi="宋体" w:eastAsia="宋体" w:cs="宋体"/>
          <w:b/>
          <w:bCs/>
          <w:color w:val="000000"/>
          <w:sz w:val="28"/>
          <w:szCs w:val="28"/>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服务的内容包括：①汇丰二村、三村、王家新村、兰翔二村保洁服务；②汇丰二村、三村范围内绿地植物养护等绿化日常管理工作；③汇丰二村、三村内河的河道保洁；④河海工业园环卫作业；⑤燕兴万家塘的公厕保洁；具体保洁、绿化养护、河道保洁等服务范围以三井街道、相关社区指定范围为准。</w:t>
      </w:r>
      <w:r>
        <w:rPr>
          <w:rFonts w:hint="eastAsia" w:ascii="宋体" w:hAnsi="宋体" w:eastAsia="宋体" w:cs="宋体"/>
          <w:color w:val="000000"/>
          <w:sz w:val="24"/>
          <w:szCs w:val="24"/>
          <w:highlight w:val="none"/>
        </w:rPr>
      </w:r>
      <w:r/>
    </w:p>
    <w:tbl>
      <w:tblPr>
        <w:tblW w:w="8647" w:type="dxa"/>
        <w:jc w:val="center"/>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2487"/>
        <w:gridCol w:w="2586"/>
        <w:gridCol w:w="2517"/>
      </w:tblGrid>
      <w:tr>
        <w:trPr/>
        <w:tc>
          <w:tcPr>
            <w:tcW w:w="105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tc>
        <w:tc>
          <w:tcPr>
            <w:tcW w:w="2586"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w:t>
            </w:r>
            <w:r>
              <w:rPr>
                <w:rFonts w:hint="eastAsia" w:ascii="宋体" w:hAnsi="宋体" w:eastAsia="宋体" w:cs="宋体"/>
                <w:color w:val="000000"/>
                <w:sz w:val="24"/>
                <w:szCs w:val="24"/>
                <w:highlight w:val="none"/>
              </w:rPr>
            </w:r>
            <w:r/>
          </w:p>
        </w:tc>
        <w:tc>
          <w:tcPr>
            <w:tcW w:w="251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栋数</w:t>
            </w: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汇丰二村、三村</w:t>
            </w:r>
            <w:r>
              <w:rPr>
                <w:rFonts w:hint="eastAsia" w:ascii="宋体" w:hAnsi="宋体" w:eastAsia="宋体" w:cs="宋体"/>
                <w:color w:val="000000"/>
                <w:sz w:val="24"/>
                <w:szCs w:val="24"/>
                <w:highlight w:val="none"/>
                <w:lang w:val="en-US" w:eastAsia="zh-CN" w:bidi="ar-SA"/>
              </w:rPr>
            </w:r>
            <w:r/>
          </w:p>
        </w:tc>
        <w:tc>
          <w:tcPr>
            <w:tcW w:w="2586"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约128400㎡</w:t>
            </w:r>
            <w:r>
              <w:rPr>
                <w:rFonts w:hint="eastAsia" w:ascii="宋体" w:hAnsi="宋体" w:eastAsia="宋体" w:cs="宋体"/>
                <w:color w:val="000000"/>
                <w:sz w:val="24"/>
                <w:szCs w:val="24"/>
                <w:highlight w:val="none"/>
                <w:lang w:val="en-US" w:eastAsia="zh-CN" w:bidi="ar-SA"/>
              </w:rPr>
            </w:r>
            <w:r/>
          </w:p>
        </w:tc>
        <w:tc>
          <w:tcPr>
            <w:tcW w:w="251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840"/>
              <w:jc w:val="center"/>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王家新村</w:t>
            </w:r>
            <w:r>
              <w:rPr>
                <w:rFonts w:hint="eastAsia" w:ascii="宋体" w:hAnsi="宋体" w:eastAsia="宋体" w:cs="宋体"/>
                <w:color w:val="000000"/>
                <w:sz w:val="24"/>
                <w:szCs w:val="24"/>
                <w:highlight w:val="none"/>
                <w:lang w:val="en-US" w:eastAsia="zh-CN" w:bidi="ar-SA"/>
              </w:rPr>
            </w:r>
            <w:r/>
          </w:p>
        </w:tc>
        <w:tc>
          <w:tcPr>
            <w:tcW w:w="2586"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约8500㎡</w:t>
            </w:r>
            <w:r>
              <w:rPr>
                <w:rFonts w:hint="eastAsia" w:ascii="宋体" w:hAnsi="宋体" w:eastAsia="宋体" w:cs="宋体"/>
                <w:color w:val="000000"/>
                <w:sz w:val="24"/>
                <w:szCs w:val="24"/>
                <w:highlight w:val="none"/>
                <w:lang w:val="en-US" w:eastAsia="zh-CN" w:bidi="ar-SA"/>
              </w:rPr>
            </w:r>
            <w:r/>
          </w:p>
        </w:tc>
        <w:tc>
          <w:tcPr>
            <w:tcW w:w="251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840"/>
              <w:jc w:val="center"/>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兰翔二村</w:t>
            </w:r>
            <w:r>
              <w:rPr>
                <w:rFonts w:hint="eastAsia" w:ascii="宋体" w:hAnsi="宋体" w:eastAsia="宋体" w:cs="宋体"/>
                <w:color w:val="000000"/>
                <w:sz w:val="24"/>
                <w:szCs w:val="24"/>
                <w:highlight w:val="none"/>
              </w:rPr>
            </w:r>
            <w:r/>
          </w:p>
        </w:tc>
        <w:tc>
          <w:tcPr>
            <w:tcW w:w="2586"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w:t>
            </w:r>
            <w:r>
              <w:rPr>
                <w:rFonts w:hint="eastAsia" w:ascii="宋体" w:hAnsi="宋体" w:cs="宋体"/>
                <w:color w:val="000000"/>
                <w:sz w:val="24"/>
                <w:szCs w:val="24"/>
                <w:highlight w:val="none"/>
                <w:lang w:val="en-US" w:eastAsia="zh-CN"/>
              </w:rPr>
              <w:t xml:space="preserve">64000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51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c>
          <w:tcPr>
            <w:tcW w:w="1057" w:type="dxa"/>
            <w:vAlign w:val="center"/>
            <w:textDirection w:val="lrTb"/>
            <w:noWrap w:val="false"/>
          </w:tcPr>
          <w:p>
            <w:pPr>
              <w:pStyle w:val="840"/>
              <w:jc w:val="center"/>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汇丰</w:t>
            </w:r>
            <w:r>
              <w:rPr>
                <w:rFonts w:hint="eastAsia" w:ascii="宋体" w:hAnsi="宋体" w:eastAsia="宋体" w:cs="宋体"/>
                <w:color w:val="000000"/>
                <w:sz w:val="24"/>
                <w:szCs w:val="24"/>
                <w:highlight w:val="none"/>
                <w:lang w:eastAsia="zh-CN"/>
              </w:rPr>
              <w:t xml:space="preserve">二村、三村</w:t>
            </w:r>
            <w:r>
              <w:rPr>
                <w:rFonts w:hint="eastAsia" w:ascii="宋体" w:hAnsi="宋体" w:eastAsia="宋体" w:cs="宋体"/>
                <w:color w:val="000000"/>
                <w:sz w:val="24"/>
                <w:szCs w:val="24"/>
                <w:highlight w:val="none"/>
              </w:rPr>
              <w:t xml:space="preserve">内河</w:t>
            </w:r>
            <w:r>
              <w:rPr>
                <w:rFonts w:hint="eastAsia" w:ascii="宋体" w:hAnsi="宋体" w:eastAsia="宋体" w:cs="宋体"/>
                <w:color w:val="000000"/>
                <w:sz w:val="24"/>
                <w:szCs w:val="24"/>
                <w:highlight w:val="none"/>
                <w:lang w:val="en-US" w:eastAsia="zh-CN" w:bidi="ar-SA"/>
              </w:rPr>
            </w:r>
            <w:r/>
          </w:p>
        </w:tc>
        <w:tc>
          <w:tcPr>
            <w:tcW w:w="2586"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长度约0.5km</w:t>
            </w:r>
            <w:r>
              <w:rPr>
                <w:rFonts w:hint="eastAsia" w:ascii="宋体" w:hAnsi="宋体" w:eastAsia="宋体" w:cs="宋体"/>
                <w:color w:val="000000"/>
                <w:sz w:val="24"/>
                <w:szCs w:val="24"/>
                <w:highlight w:val="none"/>
                <w:lang w:val="en-US" w:eastAsia="zh-CN" w:bidi="ar-SA"/>
              </w:rPr>
            </w:r>
            <w:r/>
          </w:p>
        </w:tc>
        <w:tc>
          <w:tcPr>
            <w:tcW w:w="2517" w:type="dxa"/>
            <w:vAlign w:val="center"/>
            <w:textDirection w:val="lrTb"/>
            <w:noWrap w:val="false"/>
          </w:tcPr>
          <w:p>
            <w:pPr>
              <w:pStyle w:val="840"/>
              <w:ind w:firstLine="48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105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48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河海工业园区</w:t>
            </w:r>
            <w:r>
              <w:rPr>
                <w:rFonts w:hint="eastAsia" w:ascii="宋体" w:hAnsi="宋体" w:eastAsia="宋体" w:cs="宋体"/>
                <w:color w:val="000000"/>
                <w:sz w:val="24"/>
                <w:szCs w:val="24"/>
                <w:highlight w:val="none"/>
              </w:rPr>
            </w:r>
            <w:r/>
          </w:p>
        </w:tc>
        <w:tc>
          <w:tcPr>
            <w:gridSpan w:val="2"/>
            <w:tcW w:w="5103" w:type="dxa"/>
            <w:vAlign w:val="center"/>
            <w:textDirection w:val="lrTb"/>
            <w:noWrap w:val="false"/>
          </w:tcPr>
          <w:p>
            <w:pPr>
              <w:pStyle w:val="84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高邮湖路，浦江路，漓江路，黄河路（泰山路-衡山路），泰山路（高邮湖路-黄河路），嵩山北路，衡山路（高邮湖路-黄河路）。</w:t>
            </w:r>
            <w:r>
              <w:rPr>
                <w:rFonts w:hint="eastAsia" w:ascii="宋体" w:hAnsi="宋体" w:eastAsia="宋体" w:cs="宋体"/>
                <w:color w:val="000000"/>
                <w:sz w:val="24"/>
                <w:szCs w:val="24"/>
                <w:highlight w:val="none"/>
              </w:rPr>
            </w:r>
            <w:r/>
          </w:p>
          <w:p>
            <w:pPr>
              <w:pStyle w:val="84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作业承包面积为48521</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米，其中道路面积37852</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米，绿化面积7239</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米，道板面积3430</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w:t>
            </w: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840"/>
              <w:jc w:val="center"/>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gridSpan w:val="3"/>
            <w:tcW w:w="7590" w:type="dxa"/>
            <w:vAlign w:val="center"/>
            <w:textDirection w:val="lrTb"/>
            <w:noWrap w:val="false"/>
          </w:tcPr>
          <w:p>
            <w:pPr>
              <w:pStyle w:val="840"/>
              <w:ind w:firstLine="48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燕兴万家塘的公厕</w:t>
            </w:r>
            <w:r>
              <w:rPr>
                <w:rFonts w:hint="eastAsia" w:ascii="宋体" w:hAnsi="宋体" w:eastAsia="宋体" w:cs="宋体"/>
                <w:color w:val="000000"/>
                <w:sz w:val="24"/>
                <w:szCs w:val="24"/>
                <w:highlight w:val="none"/>
              </w:rPr>
            </w:r>
            <w:r/>
          </w:p>
        </w:tc>
      </w:tr>
    </w:tbl>
    <w:p>
      <w:pPr>
        <w:pStyle w:val="840"/>
        <w:ind w:firstLine="560"/>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三、整体要求</w:t>
      </w:r>
      <w:r>
        <w:rPr>
          <w:rFonts w:hint="eastAsia" w:ascii="宋体" w:hAnsi="宋体" w:eastAsia="宋体" w:cs="宋体"/>
          <w:b/>
          <w:bCs/>
          <w:color w:val="000000"/>
          <w:sz w:val="24"/>
          <w:szCs w:val="24"/>
          <w:highlight w:val="none"/>
        </w:rPr>
      </w:r>
      <w:r/>
    </w:p>
    <w:p>
      <w:pPr>
        <w:pStyle w:val="840"/>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保洁主要服务事项：小区道路、绿化带内及河道内的垃圾清理，各单元大堂、各单位顶层平台及消防楼道的保洁；小区内各种景观小品、雕塑、路灯、草坪灯、健身器材的清洁；2M以下外墙清洁及各单元消防楼道内外玻璃清洁；垃圾收集及垃圾堆放点的消毒清洁；小区内所有排水口、路面雨水沟清洁；小区绿化带、公共楼梯、雨水井等部位之消杀工作、小区水景、喷水池垃圾清理；承包范围内汇丰二村、三村范围内绿化养护；对承包范围内河海工业园区道路进行人工保洁及日常机械清扫、洒水、冲洗、清洗作业。</w:t>
      </w:r>
      <w:r>
        <w:rPr>
          <w:rFonts w:hint="eastAsia" w:ascii="宋体" w:hAnsi="宋体" w:eastAsia="宋体" w:cs="宋体"/>
          <w:color w:val="000000"/>
          <w:sz w:val="24"/>
          <w:szCs w:val="24"/>
          <w:highlight w:val="none"/>
        </w:rPr>
      </w:r>
      <w:r/>
    </w:p>
    <w:p>
      <w:pPr>
        <w:pStyle w:val="840"/>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（二）人员配置及相关要求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服务范围、</w:t>
      </w:r>
      <w:r>
        <w:rPr>
          <w:rFonts w:hint="eastAsia" w:ascii="宋体" w:hAnsi="宋体" w:eastAsia="宋体" w:cs="宋体"/>
          <w:color w:val="000000"/>
          <w:sz w:val="24"/>
          <w:szCs w:val="24"/>
          <w:highlight w:val="none"/>
        </w:rPr>
        <w:t xml:space="preserve">人员配置</w:t>
      </w:r>
      <w:r>
        <w:rPr>
          <w:rFonts w:hint="eastAsia" w:ascii="宋体" w:hAnsi="宋体" w:eastAsia="宋体" w:cs="宋体"/>
          <w:color w:val="000000"/>
          <w:sz w:val="24"/>
          <w:szCs w:val="24"/>
          <w:highlight w:val="none"/>
          <w:lang w:eastAsia="zh-CN"/>
        </w:rPr>
        <w:t xml:space="preserve">、工作时间及工作内容</w:t>
      </w:r>
      <w:r>
        <w:rPr>
          <w:rFonts w:hint="eastAsia" w:ascii="宋体" w:hAnsi="宋体" w:eastAsia="宋体" w:cs="宋体"/>
          <w:color w:val="000000"/>
          <w:sz w:val="24"/>
          <w:szCs w:val="24"/>
          <w:highlight w:val="none"/>
          <w:lang w:eastAsia="zh-CN"/>
        </w:rPr>
      </w:r>
      <w:r/>
    </w:p>
    <w:tbl>
      <w:tblPr>
        <w:tblW w:w="49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528"/>
        <w:gridCol w:w="2728"/>
        <w:gridCol w:w="684"/>
        <w:gridCol w:w="1449"/>
        <w:gridCol w:w="2700"/>
      </w:tblGrid>
      <w:tr>
        <w:trPr>
          <w:trHeight w:val="451"/>
        </w:trPr>
        <w:tc>
          <w:tcPr>
            <w:tcW w:w="341"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lang w:val="en-US" w:eastAsia="zh-CN" w:bidi="ar-SA"/>
              </w:rPr>
            </w:r>
            <w:r/>
          </w:p>
        </w:tc>
        <w:tc>
          <w:tcPr>
            <w:tcW w:w="78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地点</w:t>
            </w:r>
            <w:r>
              <w:rPr>
                <w:rFonts w:hint="eastAsia" w:ascii="宋体" w:hAnsi="宋体" w:eastAsia="宋体" w:cs="宋体"/>
                <w:b/>
                <w:bCs/>
                <w:color w:val="000000"/>
                <w:sz w:val="21"/>
                <w:szCs w:val="21"/>
                <w:highlight w:val="none"/>
                <w:lang w:val="en-US" w:eastAsia="zh-CN" w:bidi="ar-SA"/>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服务范围</w:t>
            </w:r>
            <w:r>
              <w:rPr>
                <w:rFonts w:hint="eastAsia" w:ascii="宋体" w:hAnsi="宋体" w:eastAsia="宋体" w:cs="宋体"/>
                <w:b/>
                <w:bCs/>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人数</w:t>
            </w:r>
            <w:r>
              <w:rPr>
                <w:rFonts w:hint="eastAsia" w:ascii="宋体" w:hAnsi="宋体" w:eastAsia="宋体" w:cs="宋体"/>
                <w:b/>
                <w:bCs/>
                <w:color w:val="000000"/>
                <w:sz w:val="21"/>
                <w:szCs w:val="21"/>
                <w:highlight w:val="none"/>
              </w:rPr>
            </w:r>
            <w:r/>
          </w:p>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lang w:val="en-US" w:eastAsia="zh-CN" w:bidi="ar-SA"/>
              </w:rPr>
            </w:r>
            <w:r/>
          </w:p>
        </w:tc>
        <w:tc>
          <w:tcPr>
            <w:tcW w:w="742"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工作时间</w:t>
            </w:r>
            <w:r>
              <w:rPr>
                <w:rFonts w:hint="eastAsia" w:ascii="宋体" w:hAnsi="宋体" w:eastAsia="宋体" w:cs="宋体"/>
                <w:b/>
                <w:bCs/>
                <w:color w:val="000000"/>
                <w:sz w:val="21"/>
                <w:szCs w:val="21"/>
                <w:highlight w:val="none"/>
                <w:lang w:eastAsia="zh-CN"/>
              </w:rPr>
            </w:r>
            <w:r/>
          </w:p>
        </w:tc>
        <w:tc>
          <w:tcPr>
            <w:tcW w:w="138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工作内容</w:t>
            </w:r>
            <w:r>
              <w:rPr>
                <w:rFonts w:hint="eastAsia" w:ascii="宋体" w:hAnsi="宋体" w:eastAsia="宋体" w:cs="宋体"/>
                <w:b/>
                <w:bCs/>
                <w:color w:val="000000"/>
                <w:sz w:val="21"/>
                <w:szCs w:val="21"/>
                <w:highlight w:val="none"/>
                <w:lang w:eastAsia="zh-CN"/>
              </w:rPr>
            </w:r>
            <w:r/>
          </w:p>
        </w:tc>
      </w:tr>
      <w:tr>
        <w:trPr>
          <w:trHeight w:val="451"/>
        </w:trPr>
        <w:tc>
          <w:tcPr>
            <w:tcW w:w="341"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783"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w:t>
            </w:r>
            <w:r>
              <w:rPr>
                <w:rFonts w:hint="eastAsia" w:ascii="宋体" w:hAnsi="宋体" w:eastAsia="宋体" w:cs="宋体"/>
                <w:b w:val="0"/>
                <w:bCs w:val="0"/>
                <w:color w:val="000000"/>
                <w:sz w:val="21"/>
                <w:szCs w:val="21"/>
                <w:highlight w:val="none"/>
                <w:lang w:eastAsia="zh-CN"/>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现场负责人</w:t>
            </w:r>
            <w:r>
              <w:rPr>
                <w:rFonts w:hint="eastAsia" w:ascii="宋体" w:hAnsi="宋体" w:eastAsia="宋体" w:cs="宋体"/>
                <w:b w:val="0"/>
                <w:bCs w:val="0"/>
                <w:color w:val="000000"/>
                <w:sz w:val="21"/>
                <w:szCs w:val="21"/>
                <w:highlight w:val="none"/>
                <w:lang w:eastAsia="zh-CN"/>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742"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8:00-17:00</w:t>
            </w:r>
            <w:r>
              <w:rPr>
                <w:rFonts w:hint="eastAsia" w:ascii="宋体" w:hAnsi="宋体" w:eastAsia="宋体" w:cs="宋体"/>
                <w:b w:val="0"/>
                <w:bCs w:val="0"/>
                <w:color w:val="000000"/>
                <w:sz w:val="21"/>
                <w:szCs w:val="21"/>
                <w:highlight w:val="none"/>
                <w:lang w:val="en-US" w:eastAsia="zh-CN"/>
              </w:rPr>
            </w:r>
            <w:r/>
          </w:p>
          <w:p>
            <w:pPr>
              <w:pStyle w:val="840"/>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18:00-21:30</w:t>
            </w:r>
            <w:r>
              <w:rPr>
                <w:rFonts w:ascii="宋体" w:hAnsi="宋体" w:eastAsia="宋体" w:cs="宋体"/>
                <w:b w:val="0"/>
                <w:bCs w:val="0"/>
                <w:color w:val="000000"/>
                <w:sz w:val="21"/>
                <w:szCs w:val="21"/>
                <w:highlight w:val="none"/>
                <w:lang w:val="en-US" w:eastAsia="zh-CN"/>
              </w:rPr>
            </w:r>
            <w:r/>
          </w:p>
        </w:tc>
        <w:tc>
          <w:tcPr>
            <w:tcW w:w="1383" w:type="dxa"/>
            <w:vAlign w:val="center"/>
            <w:textDirection w:val="lrTb"/>
            <w:noWrap w:val="false"/>
          </w:tcPr>
          <w:p>
            <w:pPr>
              <w:pStyle w:val="840"/>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负责统筹保洁服务团队、制定保洁工作计划、监督服务质量、管理物资预算，并与社区街道协调，确保环境整洁达标。</w:t>
            </w:r>
            <w:r>
              <w:rPr>
                <w:rFonts w:hint="eastAsia" w:ascii="宋体" w:hAnsi="宋体" w:eastAsia="宋体" w:cs="宋体"/>
                <w:b w:val="0"/>
                <w:bCs w:val="0"/>
                <w:color w:val="000000"/>
                <w:sz w:val="21"/>
                <w:szCs w:val="21"/>
                <w:highlight w:val="none"/>
                <w:lang w:val="en-US" w:eastAsia="zh-CN"/>
              </w:rPr>
            </w:r>
            <w:r/>
          </w:p>
        </w:tc>
      </w:tr>
      <w:tr>
        <w:trPr>
          <w:trHeight w:val="451"/>
        </w:trPr>
        <w:tc>
          <w:tcPr>
            <w:tcW w:w="341" w:type="dxa"/>
            <w:vAlign w:val="center"/>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ascii="宋体" w:hAnsi="宋体" w:eastAsia="宋体" w:cs="宋体"/>
                <w:b/>
                <w:bCs/>
                <w:color w:val="000000"/>
                <w:sz w:val="21"/>
                <w:szCs w:val="21"/>
                <w:highlight w:val="none"/>
                <w:lang w:val="en-US" w:eastAsia="zh-CN"/>
              </w:rPr>
            </w:r>
            <w:r/>
          </w:p>
        </w:tc>
        <w:tc>
          <w:tcPr>
            <w:gridSpan w:val="3"/>
            <w:tcW w:w="4940"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日间人员配置</w:t>
            </w:r>
            <w:r>
              <w:rPr>
                <w:rFonts w:hint="eastAsia" w:ascii="宋体" w:hAnsi="宋体" w:eastAsia="宋体" w:cs="宋体"/>
                <w:b/>
                <w:bCs/>
                <w:color w:val="000000"/>
                <w:sz w:val="21"/>
                <w:szCs w:val="21"/>
                <w:highlight w:val="none"/>
                <w:lang w:val="en-US" w:eastAsia="zh-CN"/>
              </w:rPr>
            </w:r>
            <w:r/>
          </w:p>
        </w:tc>
        <w:tc>
          <w:tcPr>
            <w:tcW w:w="742"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38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451"/>
        </w:trPr>
        <w:tc>
          <w:tcPr>
            <w:tcW w:w="341"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w:t>
            </w:r>
            <w:r>
              <w:rPr>
                <w:rFonts w:ascii="宋体" w:hAnsi="宋体" w:eastAsia="宋体" w:cs="宋体"/>
                <w:b/>
                <w:bCs/>
                <w:color w:val="000000"/>
                <w:sz w:val="21"/>
                <w:szCs w:val="21"/>
                <w:highlight w:val="none"/>
                <w:lang w:val="en-US" w:eastAsia="zh-CN"/>
              </w:rPr>
            </w:r>
            <w:r/>
          </w:p>
        </w:tc>
        <w:tc>
          <w:tcPr>
            <w:tcW w:w="783"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人）</w:t>
            </w: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二村保洁</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42"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日间各保洁人员根据作业范围和作业内容不同，作业时间安排如下：6:30-10:30</w:t>
            </w:r>
            <w:r>
              <w:rPr>
                <w:rFonts w:hint="eastAsia" w:ascii="宋体" w:hAnsi="宋体" w:eastAsia="宋体" w:cs="宋体"/>
                <w:b w:val="0"/>
                <w:bCs w:val="0"/>
                <w:color w:val="000000"/>
                <w:sz w:val="21"/>
                <w:szCs w:val="21"/>
                <w:highlight w:val="none"/>
                <w:lang w:val="en-US" w:eastAsia="zh-CN"/>
              </w:rPr>
            </w:r>
            <w:r/>
          </w:p>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13:00-17:00</w:t>
            </w:r>
            <w:r>
              <w:rPr>
                <w:rFonts w:hint="eastAsia" w:ascii="宋体" w:hAnsi="宋体" w:eastAsia="宋体" w:cs="宋体"/>
                <w:b w:val="0"/>
                <w:bCs w:val="0"/>
                <w:color w:val="000000"/>
                <w:sz w:val="21"/>
                <w:szCs w:val="21"/>
                <w:highlight w:val="none"/>
                <w:lang w:val="en-US" w:eastAsia="zh-CN"/>
              </w:rPr>
            </w:r>
            <w:r/>
          </w:p>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6:00-18:00</w:t>
            </w:r>
            <w:r>
              <w:rPr>
                <w:rFonts w:hint="eastAsia" w:ascii="宋体" w:hAnsi="宋体" w:eastAsia="宋体" w:cs="宋体"/>
                <w:b w:val="0"/>
                <w:bCs w:val="0"/>
                <w:color w:val="000000"/>
                <w:sz w:val="21"/>
                <w:szCs w:val="21"/>
                <w:highlight w:val="none"/>
                <w:lang w:val="en-US" w:eastAsia="zh-CN"/>
              </w:rPr>
            </w:r>
            <w:r/>
          </w:p>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8:00-17:00</w:t>
            </w:r>
            <w:r>
              <w:rPr>
                <w:rFonts w:hint="eastAsia" w:ascii="宋体" w:hAnsi="宋体" w:eastAsia="宋体" w:cs="宋体"/>
                <w:b w:val="0"/>
                <w:bCs w:val="0"/>
                <w:color w:val="000000"/>
                <w:sz w:val="21"/>
                <w:szCs w:val="21"/>
                <w:highlight w:val="none"/>
                <w:lang w:val="en-US" w:eastAsia="zh-CN"/>
              </w:rPr>
            </w:r>
            <w:r/>
          </w:p>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restart"/>
            <w:textDirection w:val="lrTb"/>
            <w:noWrap w:val="false"/>
          </w:tcPr>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1.小区道路、绿化带内及河道内的垃圾清理，各单元大堂、各单位顶层平台及消防楼道的保洁；</w:t>
            </w:r>
            <w:r>
              <w:rPr>
                <w:rFonts w:hint="eastAsia" w:ascii="宋体" w:hAnsi="宋体" w:eastAsia="宋体" w:cs="宋体"/>
                <w:color w:val="000000"/>
                <w:sz w:val="21"/>
                <w:szCs w:val="21"/>
                <w:highlight w:val="none"/>
                <w:lang w:val="en-US" w:eastAsia="zh-CN"/>
              </w:rPr>
            </w:r>
            <w:r/>
          </w:p>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2.小区内各种景观小品、雕塑、路灯、草坪灯、健身器材的清洁；</w:t>
            </w:r>
            <w:r>
              <w:rPr>
                <w:rFonts w:hint="eastAsia" w:ascii="宋体" w:hAnsi="宋体" w:eastAsia="宋体" w:cs="宋体"/>
                <w:color w:val="000000"/>
                <w:sz w:val="21"/>
                <w:szCs w:val="21"/>
                <w:highlight w:val="none"/>
                <w:lang w:val="en-US" w:eastAsia="zh-CN"/>
              </w:rPr>
            </w:r>
            <w:r/>
          </w:p>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3.2M以下外墙清洁及各单元消防楼道内外玻璃清洁；垃圾收集及垃圾堆放点的消毒清洁；</w:t>
            </w:r>
            <w:r>
              <w:rPr>
                <w:rFonts w:hint="eastAsia" w:ascii="宋体" w:hAnsi="宋体" w:eastAsia="宋体" w:cs="宋体"/>
                <w:color w:val="000000"/>
                <w:sz w:val="21"/>
                <w:szCs w:val="21"/>
                <w:highlight w:val="none"/>
                <w:lang w:val="en-US" w:eastAsia="zh-CN"/>
              </w:rPr>
            </w:r>
            <w:r/>
          </w:p>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4.小区内所有排水口、路面雨水沟清洁；</w:t>
            </w:r>
            <w:r>
              <w:rPr>
                <w:rFonts w:hint="eastAsia" w:ascii="宋体" w:hAnsi="宋体" w:eastAsia="宋体" w:cs="宋体"/>
                <w:color w:val="000000"/>
                <w:sz w:val="21"/>
                <w:szCs w:val="21"/>
                <w:highlight w:val="none"/>
                <w:lang w:val="en-US" w:eastAsia="zh-CN"/>
              </w:rPr>
            </w:r>
            <w:r/>
          </w:p>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5.小区绿化带、公共楼梯、雨水井等部位之消杀工作、小区水景、喷水池垃圾清理；</w:t>
            </w:r>
            <w:r>
              <w:rPr>
                <w:rFonts w:hint="eastAsia" w:ascii="宋体" w:hAnsi="宋体" w:eastAsia="宋体" w:cs="宋体"/>
                <w:color w:val="000000"/>
                <w:sz w:val="21"/>
                <w:szCs w:val="21"/>
                <w:highlight w:val="none"/>
                <w:lang w:val="en-US" w:eastAsia="zh-CN"/>
              </w:rPr>
            </w:r>
            <w:r/>
          </w:p>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6.承包范围内汇丰二村、三村范围内绿化养护；</w:t>
            </w:r>
            <w:r>
              <w:rPr>
                <w:rFonts w:hint="eastAsia" w:ascii="宋体" w:hAnsi="宋体" w:eastAsia="宋体" w:cs="宋体"/>
                <w:color w:val="000000"/>
                <w:sz w:val="21"/>
                <w:szCs w:val="21"/>
                <w:highlight w:val="none"/>
                <w:lang w:val="en-US" w:eastAsia="zh-CN"/>
              </w:rPr>
            </w:r>
            <w:r/>
          </w:p>
          <w:p>
            <w:pPr>
              <w:pStyle w:val="840"/>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7.对承包范围内河海工业园区道路进行人工保洁及日常机械清扫、洒水、冲洗、清洗作业。</w:t>
            </w: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潘家塘保洁</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三村保洁</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河道</w:t>
            </w: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绿化日常管理</w:t>
            </w:r>
            <w:r>
              <w:rPr>
                <w:rFonts w:hint="eastAsia" w:ascii="宋体" w:hAnsi="宋体" w:eastAsia="宋体" w:cs="宋体"/>
                <w:color w:val="000000"/>
                <w:sz w:val="21"/>
                <w:szCs w:val="21"/>
                <w:highlight w:val="none"/>
                <w:lang w:eastAsia="zh-CN"/>
              </w:rPr>
              <w:t xml:space="preserve">（含绿地养护</w:t>
            </w:r>
            <w:r>
              <w:rPr>
                <w:rFonts w:hint="eastAsia" w:ascii="宋体" w:hAnsi="宋体" w:eastAsia="宋体" w:cs="宋体"/>
                <w:color w:val="000000"/>
                <w:sz w:val="21"/>
                <w:szCs w:val="21"/>
                <w:highlight w:val="none"/>
                <w:lang w:val="en-US" w:eastAsia="zh-CN"/>
              </w:rPr>
              <w:t xml:space="preserve">及绿化垃圾清运等</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ascii="宋体" w:hAnsi="宋体" w:eastAsia="宋体" w:cs="宋体"/>
                <w:b/>
                <w:bCs/>
                <w:color w:val="000000"/>
                <w:sz w:val="21"/>
                <w:szCs w:val="21"/>
                <w:highlight w:val="none"/>
                <w:lang w:val="en-US" w:eastAsia="zh-CN"/>
              </w:rPr>
            </w:r>
            <w:r/>
          </w:p>
        </w:tc>
        <w:tc>
          <w:tcPr>
            <w:tcW w:w="783"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王家新村</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en-US" w:eastAsia="zh-CN" w:bidi="ar-SA"/>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保洁员</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341"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783"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兰翔二村</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341"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341"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楼道保洁</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341"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2"/>
        </w:trPr>
        <w:tc>
          <w:tcPr>
            <w:tcW w:w="341" w:type="dxa"/>
            <w:vAlign w:val="center"/>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78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河海工业园</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lang w:val="en-US" w:eastAsia="zh-CN"/>
              </w:rPr>
              <w:t xml:space="preserve">员</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rHeight w:val="459"/>
        </w:trPr>
        <w:tc>
          <w:tcPr>
            <w:tcW w:w="341" w:type="dxa"/>
            <w:vAlign w:val="center"/>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78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燕兴万家塘的公厕</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15"/>
        </w:trPr>
        <w:tc>
          <w:tcPr>
            <w:tcW w:w="341" w:type="dxa"/>
            <w:vAlign w:val="center"/>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gridSpan w:val="3"/>
            <w:tcW w:w="4940"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夜间人员配置</w:t>
            </w:r>
            <w:r>
              <w:rPr>
                <w:rFonts w:hint="eastAsia" w:ascii="宋体" w:hAnsi="宋体" w:eastAsia="宋体" w:cs="宋体"/>
                <w:b/>
                <w:bCs/>
                <w:color w:val="000000"/>
                <w:sz w:val="21"/>
                <w:szCs w:val="21"/>
                <w:highlight w:val="none"/>
                <w:lang w:eastAsia="zh-CN"/>
              </w:rPr>
            </w:r>
            <w:r/>
          </w:p>
        </w:tc>
        <w:tc>
          <w:tcPr>
            <w:tcW w:w="742"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38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361"/>
        </w:trPr>
        <w:tc>
          <w:tcPr>
            <w:tcW w:w="341"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W w:w="783"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含潘家塘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王家新村、万家塘</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夜间保洁员</w:t>
            </w:r>
            <w:r>
              <w:rPr>
                <w:rFonts w:hint="eastAsia" w:ascii="宋体" w:hAnsi="宋体" w:eastAsia="宋体" w:cs="宋体"/>
                <w:b w:val="0"/>
                <w:bCs w:val="0"/>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W w:w="742"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17:00-21:30</w:t>
            </w:r>
            <w:r>
              <w:rPr>
                <w:rFonts w:ascii="宋体" w:hAnsi="宋体" w:eastAsia="宋体" w:cs="宋体"/>
                <w:b w:val="0"/>
                <w:bCs w:val="0"/>
                <w:color w:val="000000"/>
                <w:sz w:val="21"/>
                <w:szCs w:val="21"/>
                <w:highlight w:val="none"/>
                <w:lang w:val="en-US" w:eastAsia="zh-CN"/>
              </w:rPr>
            </w:r>
            <w:r/>
          </w:p>
        </w:tc>
        <w:tc>
          <w:tcPr>
            <w:tcW w:w="1383" w:type="dxa"/>
            <w:vAlign w:val="center"/>
            <w:vMerge w:val="restart"/>
            <w:textDirection w:val="lrTb"/>
            <w:noWrap w:val="false"/>
          </w:tcPr>
          <w:p>
            <w:pPr>
              <w:pStyle w:val="840"/>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1.作业时间内巡回保洁服务：巡查、汇报、处置满溢的垃圾桶，垃圾桶周边清扫及其他保洁工作；</w:t>
            </w:r>
            <w:r>
              <w:rPr>
                <w:rFonts w:hint="eastAsia" w:ascii="宋体" w:hAnsi="宋体" w:eastAsia="宋体" w:cs="宋体"/>
                <w:b w:val="0"/>
                <w:bCs w:val="0"/>
                <w:color w:val="000000"/>
                <w:sz w:val="21"/>
                <w:szCs w:val="21"/>
                <w:highlight w:val="none"/>
                <w:lang w:val="en-US" w:eastAsia="zh-CN"/>
              </w:rPr>
            </w:r>
            <w:r/>
          </w:p>
          <w:p>
            <w:pPr>
              <w:pStyle w:val="840"/>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2.生活垃圾收集及垃圾堆放点的消毒清洁，夜间对垃圾桶清运两次，确保无满溢；</w:t>
            </w:r>
            <w:r>
              <w:rPr>
                <w:rFonts w:hint="eastAsia" w:ascii="宋体" w:hAnsi="宋体" w:eastAsia="宋体" w:cs="宋体"/>
                <w:b w:val="0"/>
                <w:bCs w:val="0"/>
                <w:color w:val="000000"/>
                <w:sz w:val="21"/>
                <w:szCs w:val="21"/>
                <w:highlight w:val="none"/>
                <w:lang w:val="en-US" w:eastAsia="zh-CN"/>
              </w:rPr>
            </w:r>
            <w:r/>
          </w:p>
          <w:p>
            <w:pPr>
              <w:pStyle w:val="840"/>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3.路面积尘，油污冲洗；</w:t>
            </w:r>
            <w:r>
              <w:rPr>
                <w:rFonts w:hint="eastAsia" w:ascii="宋体" w:hAnsi="宋体" w:eastAsia="宋体" w:cs="宋体"/>
                <w:b w:val="0"/>
                <w:bCs w:val="0"/>
                <w:color w:val="000000"/>
                <w:sz w:val="21"/>
                <w:szCs w:val="21"/>
                <w:highlight w:val="none"/>
                <w:lang w:val="en-US" w:eastAsia="zh-CN"/>
              </w:rPr>
            </w:r>
            <w:r/>
          </w:p>
          <w:p>
            <w:pPr>
              <w:pStyle w:val="840"/>
              <w:jc w:val="left"/>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公共设施顽固脏污冲洗；汇丰二村、三村全域冲冼，一周一次，作业时间内不间断巡查，并根据实际需求配合保洁人员进行冲冼作业。</w:t>
            </w:r>
            <w:r>
              <w:rPr>
                <w:rFonts w:ascii="宋体" w:hAnsi="宋体" w:eastAsia="宋体" w:cs="宋体"/>
                <w:b w:val="0"/>
                <w:bCs w:val="0"/>
                <w:color w:val="000000"/>
                <w:sz w:val="21"/>
                <w:szCs w:val="21"/>
                <w:highlight w:val="none"/>
                <w:lang w:val="en-US" w:eastAsia="zh-CN"/>
              </w:rPr>
            </w:r>
            <w:r/>
          </w:p>
        </w:tc>
      </w:tr>
      <w:tr>
        <w:trPr>
          <w:trHeight w:val="307"/>
        </w:trPr>
        <w:tc>
          <w:tcPr>
            <w:tcW w:w="341" w:type="dxa"/>
            <w:vAlign w:val="top"/>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top"/>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夜间生活垃圾清运</w:t>
            </w:r>
            <w:r>
              <w:rPr>
                <w:rFonts w:hint="eastAsia" w:ascii="宋体" w:hAnsi="宋体" w:eastAsia="宋体" w:cs="宋体"/>
                <w:b w:val="0"/>
                <w:bCs w:val="0"/>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361"/>
        </w:trPr>
        <w:tc>
          <w:tcPr>
            <w:tcW w:w="341" w:type="dxa"/>
            <w:vAlign w:val="top"/>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top"/>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夜间冲水工</w:t>
            </w:r>
            <w:r>
              <w:rPr>
                <w:rFonts w:hint="eastAsia" w:ascii="宋体" w:hAnsi="宋体" w:eastAsia="宋体" w:cs="宋体"/>
                <w:b w:val="0"/>
                <w:bCs w:val="0"/>
                <w:color w:val="000000"/>
                <w:sz w:val="21"/>
                <w:szCs w:val="21"/>
                <w:highlight w:val="none"/>
                <w:lang w:val="en-US" w:eastAsia="zh-CN" w:bidi="ar-SA"/>
              </w:rPr>
            </w:r>
            <w:r/>
          </w:p>
        </w:tc>
        <w:tc>
          <w:tcPr>
            <w:tcW w:w="350"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742"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83"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80"/>
        </w:trPr>
        <w:tc>
          <w:tcPr>
            <w:gridSpan w:val="3"/>
            <w:tcW w:w="492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合计</w:t>
            </w:r>
            <w:r>
              <w:rPr>
                <w:rFonts w:hint="eastAsia" w:ascii="宋体" w:hAnsi="宋体" w:eastAsia="宋体" w:cs="宋体"/>
                <w:b/>
                <w:bCs/>
                <w:color w:val="000000"/>
                <w:sz w:val="21"/>
                <w:szCs w:val="21"/>
                <w:highlight w:val="none"/>
                <w:lang w:val="en-US" w:eastAsia="zh-CN"/>
              </w:rPr>
            </w:r>
            <w:r/>
          </w:p>
        </w:tc>
        <w:tc>
          <w:tcPr>
            <w:tcW w:w="350" w:type="dxa"/>
            <w:vAlign w:val="center"/>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w:t>
            </w:r>
            <w:r>
              <w:rPr>
                <w:rFonts w:ascii="宋体" w:hAnsi="宋体" w:eastAsia="宋体" w:cs="宋体"/>
                <w:b/>
                <w:bCs/>
                <w:color w:val="000000"/>
                <w:sz w:val="21"/>
                <w:szCs w:val="21"/>
                <w:highlight w:val="none"/>
                <w:lang w:val="en-US" w:eastAsia="zh-CN"/>
              </w:rPr>
            </w:r>
            <w:r/>
          </w:p>
        </w:tc>
        <w:tc>
          <w:tcPr>
            <w:tcW w:w="742"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138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bl>
    <w:p>
      <w:pPr>
        <w:pStyle w:val="840"/>
        <w:pageBreakBefore w:val="0"/>
        <w:spacing w:line="44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w:t>
      </w:r>
      <w:r>
        <w:rPr>
          <w:rFonts w:hint="eastAsia" w:ascii="宋体" w:hAnsi="宋体" w:cs="宋体"/>
          <w:b/>
          <w:bCs/>
          <w:color w:val="000000"/>
          <w:sz w:val="24"/>
          <w:szCs w:val="24"/>
          <w:highlight w:val="none"/>
          <w:lang w:val="en-US" w:eastAsia="zh-CN"/>
        </w:rPr>
        <w:t xml:space="preserve">1.★投标供应商必须确保本项目配置人数不得少于31人，其中：负责人1人，日间作业人员配置不少于24人，夜间作业人员配置不少于6人，提供承诺函；</w:t>
      </w:r>
      <w:r>
        <w:rPr>
          <w:rFonts w:hint="eastAsia" w:ascii="宋体" w:hAnsi="宋体" w:cs="宋体"/>
          <w:b/>
          <w:bCs/>
          <w:color w:val="000000"/>
          <w:sz w:val="24"/>
          <w:szCs w:val="24"/>
          <w:highlight w:val="none"/>
          <w:lang w:val="en-US" w:eastAsia="zh-CN"/>
        </w:rPr>
      </w:r>
      <w:r/>
    </w:p>
    <w:p>
      <w:pPr>
        <w:pStyle w:val="840"/>
        <w:ind w:firstLine="723"/>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2.因小区、城中村、道路清扫保洁要求等级不同，人员及费用配比也有差异，具体按实际需求自行调整。</w:t>
      </w:r>
      <w:r>
        <w:rPr>
          <w:rFonts w:ascii="宋体" w:hAnsi="宋体" w:eastAsia="宋体" w:cs="宋体"/>
          <w:b/>
          <w:bCs/>
          <w:color w:val="000000"/>
          <w:sz w:val="24"/>
          <w:szCs w:val="24"/>
          <w:highlight w:val="none"/>
          <w:lang w:val="en-US" w:eastAsia="zh-CN"/>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2、相关要求：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（1）所有服务人员须身体健康、小学文化</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以上、适合本项目环境工作。</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）有岗前培训，作业人员100%经过岗前或在岗培训合格才能独立在岗。</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员必须相对固定，不得兼职其他岗位，避免经常更换。更换人员或新进人员必须及时通知采购方，并得到采购方相关管理部门的同意。中标人不得通过不正当手法频繁更换人员获取利益。对进驻小区保洁服务不满1个月就更换人员，每有1人次则扣罚保洁公司管理费500元（因采购方要求换人或员工生病等特殊情况除外）。</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）服务期内中标人承包范围内的保洁等服务不符合标准，被市级考评拍照并扣分，相应扣1000元/次，区级拍照并扣分扣500元/次，街道巡查未整改扣300元/次。</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）中标人安排在该项目的所有员工必须遵纪守法不得从事非法活动。如有不服从采购方管理、不熟悉操作或工作态度差的员工，采购方有权要求中标人辞退、更换。</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（三）遇到节假日、重大活动、上级检查参观等，组织员工突击加班加点，实施作业，按照上级要求按实按量完成突击任务，确保本项目服务范围内良好环境。</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（四）服务期：本次采购服务时间暂定叁年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合同一年一签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服务期限开始时间从接到招标人通知之日起开始计算。第一年的前三个月为试用期，试用期满经甲方考核合格后，本合同有效。一年合同期满经甲方考核满意后，可签订下一年合同，最多续签二次。项目</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价格一经确定，服务期内一律不再调整，投标人已考虑服务期内的物价、政策等所有风险因素，在投标时已预测并纳入投标总价中。</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服务质量及效果要求：针对各小区的实际情况，投标人应踏勘现场并在投标文件中要明确说明工作人员数量、工作内容和标准等，在保障完成任务的前提下体现合理性，提供项目配置人员表、拟委派的管理项目负责人的情况简介及项目经历、其他骨干人员工作简历及项目经历、从业人员的数量、专业分工、专业配备、专业技能要求、年龄构成、培训计划及内容、上岗标准等，表格自制。</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（六）建立健全保洁管理制度与绿化养护制度：根据小区的具体情况，投标单位应制定有关制度，如</w:t>
      </w:r>
      <w:r>
        <w:rPr>
          <w:rFonts w:hint="eastAsia" w:ascii="宋体" w:hAnsi="宋体" w:eastAsia="宋体" w:cs="宋体"/>
          <w:color w:val="000000"/>
          <w:sz w:val="24"/>
          <w:szCs w:val="24"/>
          <w:highlight w:val="none"/>
        </w:rPr>
        <w:t xml:space="preserve">企业内部管理制度，日常服务的运作管理制度等。主要包括以下内容：管理员工行为规范，办公室工作职责，工程部职责，环境保洁部职责，秩序维护执勤职责、管理人员岗位责任制，操作人员岗位责任制，管理人员岗位考核细则，操作人员岗位考核细则，经济考核制度，考核奖惩制度，见义勇为奖励制度，房屋使用管理制度，设备运行管理制度，环境卫生管理制度，综合服务制度，24小时值班制度，进退场交接制度，应急预案制度等（包括紧急应对停电停水、消防与电梯故障、大型活动、水管损坏堵塞应急预案以及其他专门的紧急预案等），对各项制度的监督落实制度。</w:t>
      </w:r>
      <w:r>
        <w:rPr>
          <w:rFonts w:hint="eastAsia" w:ascii="宋体" w:hAnsi="宋体" w:eastAsia="宋体" w:cs="宋体"/>
          <w:color w:val="000000"/>
          <w:sz w:val="24"/>
          <w:szCs w:val="24"/>
          <w:highlight w:val="none"/>
        </w:rPr>
      </w:r>
      <w:r/>
    </w:p>
    <w:p>
      <w:pPr>
        <w:pStyle w:val="840"/>
        <w:ind w:firstLine="482"/>
        <w:pageBreakBefore w:val="0"/>
        <w:spacing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四、服务</w:t>
      </w:r>
      <w:r>
        <w:rPr>
          <w:rFonts w:hint="eastAsia" w:ascii="宋体" w:hAnsi="宋体" w:eastAsia="宋体" w:cs="宋体"/>
          <w:b/>
          <w:color w:val="000000"/>
          <w:sz w:val="24"/>
          <w:szCs w:val="24"/>
          <w:highlight w:val="none"/>
          <w:lang w:eastAsia="zh-CN"/>
        </w:rPr>
        <w:t xml:space="preserve">标准</w:t>
      </w:r>
      <w:r>
        <w:rPr>
          <w:rFonts w:hint="eastAsia" w:ascii="宋体" w:hAnsi="宋体" w:eastAsia="宋体" w:cs="宋体"/>
          <w:b/>
          <w:color w:val="000000"/>
          <w:sz w:val="24"/>
          <w:szCs w:val="24"/>
          <w:highlight w:val="none"/>
          <w:lang w:eastAsia="zh-CN"/>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1、小区保洁要求：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本作业服务量清单中的作业服务范围包括但不限于以下内容：</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A.小区外围道路绿化带内及河道内的垃圾清理；</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B.各单元大堂、各单位顶层平台及消防楼道的保洁；</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C.小区内所有排水口、路面雨水沟清洁，无杂物堵塞；</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D.小区内所有生活垃圾、建筑垃圾和日常公共区域乱堆放清理整治工作；</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E.辖区内除“四害”工作；</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F.小区楼道的清洁、电梯轿厢的清理、楼外公共区域的环境卫生；</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G.小区内各种景观小品、雕塑、路灯、草坪灯、健身器材的清洁；</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H.2M以下外墙清洁及各单元消防楼道内外玻璃清洁；</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I.小区绿化带、公共楼梯、雨水井等部位之消杀工作；</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垃圾收集及垃圾堆放点的消毒清洁。</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2、绿化养护要求：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本作业服务量清单中的作业服务范围包括但不限于以下内容：</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乔、灌木补种：乔、灌木保存率95%以上。要有补种计划，补种率不低于10%。特殊树种、大规格树种保存率90%以上。保持长年基本完好。</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草坪补种：草坪保存率90%以上。要有补种计划，补种率不低于15%。</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修剪：每年普修3遍以上，草面基本平整，切边整理1次以上。大的树木修剪（香樟树等）3年内修剪不少于1次。</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清杂草：每年普除杂草5遍以上，杂草面积不大于6%，整块草坪无明显杂草。</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病虫害防治：以综合防治，化学防治，人工防治，生物防治等方法防止病虫害曼延。常见病虫危害和单株危害控制在5%以下。发现病虫害及时灭杀。控制大面积病虫害发生。</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施肥：每年适时施肥。并每年至少施肥一遍。</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灌、排水：及时灌溉，保证有效供水，无明显缺水枯黄，有积水及时排除。</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扶正加固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树木有倒伏倾向，及时扶正、加固。</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其它：乔、灌木生长良好，树冠完整；球、篱、地被生长正常，缺枝、空档不明显。</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3、河道保洁具体要求：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本作业服务量清单中的作业服务范围包括但不限于以下内容：</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船只内外整洁，停靠规范，作业完成后船内杂物及时清运。保洁船停靠处警示牌完好。</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河面清洁，无成片油污、有害水生植物和漂浮物。</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河道岸坡整齐清洁，无生活生产垃圾、建筑垃圾及其他杂物堆放，无乱种植。</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河道护栏、公示牌完好、无破损及乱涂写、乱张贴。</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4、公厕作业要求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公共厕所的日常保洁；公共厕所周边5米范围的保洁；公共厕所的消杀工作；公共厕所产生的垃圾的收集及处置；公共厕所设施的管理。</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公厕巡回保洁，每个时间段不小于三次，巡回保洁作业安排由乙方书面向甲方报批；特殊情况下，由甲方指定作业时间和方式，消杀时间为每年5月至10月。</w:t>
      </w:r>
      <w:r>
        <w:rPr>
          <w:rFonts w:hint="eastAsia" w:ascii="宋体" w:hAnsi="宋体" w:eastAsia="宋体" w:cs="宋体"/>
          <w:color w:val="000000"/>
          <w:sz w:val="24"/>
          <w:szCs w:val="24"/>
          <w:highlight w:val="none"/>
          <w:lang w:eastAsia="zh-CN"/>
        </w:rPr>
      </w:r>
      <w:r/>
    </w:p>
    <w:p>
      <w:pPr>
        <w:pStyle w:val="840"/>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道路保洁</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lang w:eastAsia="zh-CN"/>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8小时道路工作制：6:30-10:30,13:00-17:00</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12小时道路工作制：6:00-18:00</w:t>
      </w:r>
      <w:r>
        <w:rPr>
          <w:rFonts w:hint="eastAsia" w:ascii="宋体" w:hAnsi="宋体" w:eastAsia="宋体" w:cs="宋体"/>
          <w:color w:val="000000"/>
          <w:sz w:val="24"/>
          <w:szCs w:val="24"/>
          <w:highlight w:val="none"/>
        </w:rPr>
      </w:r>
      <w:r/>
    </w:p>
    <w:p>
      <w:pPr>
        <w:pStyle w:val="840"/>
        <w:ind w:firstLine="48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夜间保洁时间：</w:t>
      </w:r>
      <w:r>
        <w:rPr>
          <w:rFonts w:hint="eastAsia" w:ascii="宋体" w:hAnsi="宋体" w:eastAsia="宋体" w:cs="宋体"/>
          <w:color w:val="000000"/>
          <w:sz w:val="24"/>
          <w:szCs w:val="24"/>
          <w:highlight w:val="none"/>
          <w:lang w:val="en-US" w:eastAsia="zh-CN"/>
        </w:rPr>
        <w:t xml:space="preserve">17:00-21:30</w:t>
      </w:r>
      <w:r>
        <w:rPr>
          <w:rFonts w:ascii="宋体" w:hAnsi="宋体" w:eastAsia="宋体" w:cs="宋体"/>
          <w:color w:val="000000"/>
          <w:sz w:val="24"/>
          <w:szCs w:val="24"/>
          <w:highlight w:val="none"/>
          <w:lang w:val="en-US" w:eastAsia="zh-CN"/>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对于承包的道路必须每天在规定的时间</w:t>
      </w:r>
      <w:r>
        <w:rPr>
          <w:rFonts w:hint="eastAsia" w:ascii="宋体" w:hAnsi="宋体" w:eastAsia="宋体" w:cs="宋体"/>
          <w:color w:val="000000"/>
          <w:sz w:val="24"/>
          <w:szCs w:val="24"/>
          <w:highlight w:val="none"/>
        </w:rPr>
        <w:t xml:space="preserve">段内清扫两次</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（高温天气经甲方同意临时调整）</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（2）承包作业内容</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①根据承包道路清扫保洁和作业质量要，按照常州市道路清扫保洁一体化的标准，对承包道路快、慢车道和人行道进行清扫、保洁；对依附于道路的绿化带进行保洁（包括绿化带内垃圾的清理）；</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②按新北区环卫处规划的道路等级，必须采用机械辅助人工清扫，使用10吨及10吨以上高压冲洒水车，8吨及8吨以上清洗车，对承包范围内的道路按约定进行日常机械化清扫、洒水、冲洗、清洗作业。</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③按新北区环卫处规划的道路等级，对承包范围内的道路按约定进行日常机械化清扫、洒水、冲洗、清洗作业。</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④负责承包道路两侧垃圾箱（房）及果壳箱和无主垃圾的及时清理，并负责对垃圾箱（房）及果壳箱表面进行消毒，对垃圾房进行定期粉刷。</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⑤遇有节假日、重大活动、上级检查参观等，组织员工突击加班加点，实施作业，按照上级要求按实按量完成突击任务，确保工业园区等良好环境。</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⑥作业质量要求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干净整洁（包括车行道、人行道、绿地、绿化带、花台、树穴根及道路交界处延伸5米的整洁），按一体化要求及时清理垃圾房、垃圾箱、果壳箱，并进行清洁消毒，在规定时间内完成作业任务且保洁率达到100%，垃圾包收集必须与道路清扫保洁同步作业；降雪天气要及时组织铲雪，汛期加强雨水收集井的疏通工作。</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（3）文明作业要求：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①对职工进行文明作业方面的教育；作业员工必须穿着环卫标志服，严禁穿拖鞋上岗；作业时轻拿轻放，文明作业，严禁故意挥扬尘；垃圾运输车辆必须完好、密封、整洁；作业员工之间严禁传播不文明信息。</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认真贯彻执行国家、省、市、区有关安全生产的法律法规和规定；配备安全生产专（兼）职管理人员，建立完整的安全生产管理网络；规章制度健全，工作职责落实，考核目标明确，坚持惩罚分明；定期开展安全作业检查，发现问题及时整改；杜绝重、特安全事故，确保本单位不发生企事业职工责任伤、亡和造成严重影响的责任事故；必须为每一位职工购买人身以外险，如造成任何安全事故，赔偿责任均由投标人负责</w:t>
      </w:r>
      <w:r>
        <w:rPr>
          <w:rFonts w:hint="eastAsia" w:ascii="宋体" w:hAnsi="宋体" w:eastAsia="宋体" w:cs="宋体"/>
          <w:color w:val="000000"/>
          <w:sz w:val="24"/>
          <w:szCs w:val="24"/>
          <w:highlight w:val="none"/>
        </w:rPr>
      </w:r>
      <w:r/>
    </w:p>
    <w:p>
      <w:pPr>
        <w:pStyle w:val="840"/>
        <w:ind w:firstLine="482"/>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五、招标相关说明</w:t>
      </w:r>
      <w:r>
        <w:rPr>
          <w:rFonts w:hint="eastAsia" w:ascii="宋体" w:hAnsi="宋体" w:eastAsia="宋体" w:cs="宋体"/>
          <w:b/>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对投标人的要求：具有科学合理的组织架构，严格的管理细则和岗位责任制度；具有提供完善的后勤管理和保障服务的能力，并具有一定的企业规模。提供的服务要以人为本、优质文明。</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投标人应针对本次招标项目特点编写公司中标后拟采取的管理方案。包括组织计划、人员安排、流程安排、设备工具的安排等，遇重大、紧急事项的应急措施等。</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中标人管理办公用房、仓库用房（给予一般性装饰，保证整洁大方、明亮）由采购方提供，在服务期限内免费给中标人使用。服务管理操作中，甲方提供必要的照明、用电、用水。</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中标人配置管理人员、值班人员的通讯设备，并负责此类设备所产生的费用。中标人有岗前培训机构，服务人员100℅经过岗前或在岗培训合格才能独立上岗。</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5.中标人须提供足够的设备、工具、材料，自行解决保洁服务时所需的日常工具和劳防用品，并能根据保洁管理区域形象要求及规范，保证落实文明工作。</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6.中标人负责所有有关管理区域环境保洁所需的清洁、洗涤药剂；清洁用品及耗材；生活（黑色）垃圾袋；地面和物体表面擦拭用的消毒剂；保洁（除垃圾箱外）、运送工具、设备及耗材等。道路清扫车辆；</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7.中标人的各岗位员工要求统一服装，并由中标人负责其员工工作服的配备和洗涤。</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8.中标人不得在合同期限内将本项目的管理权转包或分包。</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9.中标人有责任配合采购人接受相关部门的监督、检查，并提供必须的资料。如检查不合格，中标人必须按有关部门的整改要求给予落实，且采购人有权追究中标人相关责任并进行扣罚。</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10.中标人自行负责其招聘员工的一切工资、福利、社会保险；如发生工伤、疾病乃至死亡的一切责任及费用由中标人全部负责；中标人应严格遵守国家有关的法律、法规及行业标准。</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中标人必须严格执行国家及省、市、区关于用工工资标准的相关规定</w:t>
      </w:r>
      <w:r>
        <w:rPr>
          <w:rFonts w:hint="eastAsia" w:ascii="宋体" w:hAnsi="宋体" w:eastAsia="宋体" w:cs="宋体"/>
          <w:color w:val="000000"/>
          <w:sz w:val="24"/>
          <w:szCs w:val="24"/>
          <w:highlight w:val="none"/>
        </w:rPr>
        <w:t xml:space="preserve">，并承担其雇员的劳动报酬、福利待遇、所有员工按劳动法缴纳社会保险、劳动保护、工伤抚恤等用人费用，承担未正确执行劳动法用工规定所产生的法律责任，维护和保障员工的合法权益。因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违反《劳动法》等法律法规而造成采购人的连带责任和损失全部由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12．项目实施期间，未按要求缴纳社保的，采购人可扣除相应费用，情节严重的，可终止服务合同。 </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13．所有员工入驻服务时须提供健康体检证明（费用由中标人负责）。 </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自行承担日常工作中产生的各项安全事故的责任。中标人对发生的一般突发性事件必须有相应的应对措施，相关费用须在投标费用中考虑。</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15．按采购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需求全年365天24小时不间断提供保洁服务，中标人应根据工作需要合理安排好节假日其保洁人员加班，其保洁人员的加班费应严格按国家有关法律、法规要求的标准由中标人给付。 </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总价应包括：员工费用和管理人员费用、离职补偿金、保险、管理费、培训费、各类加班费（法定节假日等）、值班费、岗位补贴、高温补贴、员工福利、利润、设备、工具、消耗品、工会费、维护修理、折旧、</w:t>
      </w:r>
      <w:r>
        <w:rPr>
          <w:rFonts w:hint="eastAsia" w:ascii="宋体" w:hAnsi="宋体" w:eastAsia="宋体" w:cs="宋体"/>
          <w:color w:val="000000"/>
          <w:sz w:val="24"/>
          <w:szCs w:val="24"/>
          <w:highlight w:val="none"/>
          <w:lang w:eastAsia="zh-CN"/>
        </w:rPr>
        <w:t xml:space="preserve">招标代理费、</w:t>
      </w:r>
      <w:r>
        <w:rPr>
          <w:rFonts w:hint="eastAsia" w:ascii="宋体" w:hAnsi="宋体" w:eastAsia="宋体" w:cs="宋体"/>
          <w:color w:val="000000"/>
          <w:sz w:val="24"/>
          <w:szCs w:val="24"/>
          <w:highlight w:val="none"/>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eastAsia="宋体" w:cs="宋体"/>
          <w:color w:val="000000"/>
          <w:sz w:val="24"/>
          <w:szCs w:val="24"/>
          <w:highlight w:val="none"/>
        </w:rPr>
      </w:r>
      <w:r/>
    </w:p>
    <w:p>
      <w:pPr>
        <w:pStyle w:val="840"/>
        <w:ind w:firstLine="480"/>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17.中标人在市、区两级考评中未出现重大失分，且在服务期内帮助街道完成目标任务的，将给予考核奖励费用5万元/年，此项费用为不可竞争费用，投标人须在投标报价中包含。此项为实质性响应要求，不满足则视为无效投标。</w:t>
      </w:r>
      <w:r>
        <w:rPr>
          <w:rFonts w:ascii="宋体" w:hAnsi="宋体" w:eastAsia="宋体" w:cs="宋体"/>
          <w:b/>
          <w:bCs/>
          <w:color w:val="000000"/>
          <w:sz w:val="24"/>
          <w:szCs w:val="24"/>
          <w:highlight w:val="none"/>
          <w:lang w:val="en-US" w:eastAsia="zh-CN"/>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．对投标人中标后的其他要求：</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（1）投标人中标后必须与采购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的管理人员和物业所在社区保持密切联系，共同研究，做好小区物业服务管理。并随时接受采购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的监督、检查，能如实提供检查时所需的情况和资料。</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（2）投标人中标后必须积极配合街道各部门、社区做好安置小区矛盾调解、长效管理、文明城市、防汛应急等方面的工作，不得以任何理由推诿、扯皮。</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）投标人中标后须做好物业服务管理年度计划、必须每月向采购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提供对物业服务管理项目工作计划和工作总结，并落实实施。</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有权每月组织至少一次由双方管理人员参加的服务质量联合检查，检查按管理各项服务标准进行考核评分，并按服务管理考核办法进行扣罚，保洁管理服务必须按标准限期进行整改。</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）投标人中标后提供的材料及耗材，必须符合国家环保标准。</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）中标人员工进行保洁服务等时必须做好安全措施，有明显标识的安全标志。不得损坏所有设备。因中标人员工工作不到位或工作失误等原因导致发生意外事故，一切责任由中标人负责。</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）投标人中标后在服务期间，需开展某些活动时，应提前通知采购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，同意后方可实施。 </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）服务期内中标人在经营中的一切债权和债务均由中标人负责。</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）如投标人中标后有违法经营行为的，或有违法纵容、煽动工人怠工、罢工等过激行为的，或因中标人无视工人权益引致工人有怠工、罢工等过激行为的，采购人有权即时终止本承包合同。</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因突发情况（如台风、雨雪、冰雹、霜或冻等天气或气候因素，或车辆、居民或行人等人为因素，或是其它因素，以及复合因素或不明原因的情况）导致的道路污染必须及时清除，不论这些因素是可预测或不可预测的，均已包含在投标报价中。除采购人要求外，不作调整。</w:t>
      </w:r>
      <w:r>
        <w:rPr>
          <w:rFonts w:hint="eastAsia" w:ascii="宋体" w:hAnsi="宋体" w:eastAsia="宋体" w:cs="宋体"/>
          <w:color w:val="000000"/>
          <w:sz w:val="24"/>
          <w:szCs w:val="24"/>
          <w:highlight w:val="none"/>
        </w:rPr>
      </w:r>
      <w:r/>
    </w:p>
    <w:p>
      <w:pPr>
        <w:pStyle w:val="840"/>
        <w:ind w:firstLine="482"/>
        <w:pageBreakBefore w:val="0"/>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六、付款方式</w:t>
      </w:r>
      <w:r>
        <w:rPr>
          <w:rFonts w:hint="eastAsia" w:ascii="宋体" w:hAnsi="宋体" w:eastAsia="宋体" w:cs="宋体"/>
          <w:b/>
          <w:bCs/>
          <w:color w:val="000000"/>
          <w:sz w:val="24"/>
          <w:szCs w:val="24"/>
          <w:highlight w:val="none"/>
          <w:lang w:eastAsia="zh-CN"/>
        </w:rPr>
      </w:r>
      <w:r/>
    </w:p>
    <w:p>
      <w:pPr>
        <w:pStyle w:val="840"/>
        <w:ind w:firstLine="482"/>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、根据苏财购〔2020〕52号文件，合同签订生效后乙方进场前甲方支付当年服务合同金额的30%的预付款；</w:t>
      </w:r>
      <w:r>
        <w:rPr>
          <w:rFonts w:hint="eastAsia" w:ascii="宋体" w:hAnsi="宋体" w:eastAsia="宋体" w:cs="宋体"/>
          <w:b w:val="0"/>
          <w:bCs w:val="0"/>
          <w:color w:val="000000"/>
          <w:sz w:val="24"/>
          <w:szCs w:val="24"/>
          <w:highlight w:val="none"/>
          <w:lang w:eastAsia="zh-CN"/>
        </w:rPr>
      </w:r>
      <w:r/>
    </w:p>
    <w:p>
      <w:pPr>
        <w:pStyle w:val="840"/>
        <w:ind w:firstLine="482"/>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、剩余费用根据对乙方的考核业绩每月按实支付。每月 10 日前支付上月服务费用（此费用包括材料费、机械折旧费、维修费、员工工资、福利费、管理费、上缴税金等所有费用）。</w:t>
      </w:r>
      <w:r>
        <w:rPr>
          <w:rFonts w:hint="eastAsia" w:ascii="宋体" w:hAnsi="宋体" w:eastAsia="宋体" w:cs="宋体"/>
          <w:b w:val="0"/>
          <w:bCs w:val="0"/>
          <w:color w:val="000000"/>
          <w:sz w:val="24"/>
          <w:szCs w:val="24"/>
          <w:highlight w:val="none"/>
          <w:lang w:eastAsia="zh-CN"/>
        </w:rPr>
      </w:r>
      <w:r/>
    </w:p>
    <w:p>
      <w:pPr>
        <w:pStyle w:val="840"/>
        <w:ind w:firstLine="482"/>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、三井街道保洁服务考核办法</w:t>
      </w:r>
      <w:r>
        <w:rPr>
          <w:rFonts w:hint="eastAsia" w:ascii="宋体" w:hAnsi="宋体" w:eastAsia="宋体" w:cs="宋体"/>
          <w:color w:val="000000"/>
          <w:sz w:val="24"/>
          <w:szCs w:val="24"/>
          <w:highlight w:val="none"/>
        </w:rPr>
      </w:r>
      <w:r/>
    </w:p>
    <w:p>
      <w:pPr>
        <w:pStyle w:val="840"/>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1、考核内容：</w:t>
      </w:r>
      <w:r>
        <w:rPr>
          <w:rFonts w:hint="eastAsia" w:ascii="宋体" w:hAnsi="宋体" w:eastAsia="宋体" w:cs="宋体"/>
          <w:color w:val="000000"/>
          <w:sz w:val="24"/>
          <w:szCs w:val="24"/>
          <w:highlight w:val="none"/>
        </w:rPr>
      </w:r>
      <w:r/>
    </w:p>
    <w:p>
      <w:pPr>
        <w:pStyle w:val="840"/>
        <w:ind w:firstLine="480"/>
        <w:jc w:val="left"/>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采购人根据</w:t>
      </w:r>
      <w:r>
        <w:rPr>
          <w:rFonts w:hint="eastAsia" w:ascii="宋体" w:hAnsi="宋体" w:eastAsia="宋体" w:cs="宋体"/>
          <w:color w:val="000000"/>
          <w:sz w:val="24"/>
          <w:szCs w:val="24"/>
          <w:highlight w:val="none"/>
        </w:rPr>
        <w:t xml:space="preserve">《常州市数字化城市长效管理考评实施细则》对</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日常工作</w:t>
      </w:r>
      <w:r>
        <w:rPr>
          <w:rFonts w:hint="eastAsia" w:ascii="宋体" w:hAnsi="宋体" w:eastAsia="宋体" w:cs="宋体"/>
          <w:color w:val="000000"/>
          <w:sz w:val="24"/>
          <w:szCs w:val="24"/>
          <w:highlight w:val="none"/>
          <w:lang w:eastAsia="zh-CN"/>
        </w:rPr>
        <w:t xml:space="preserve">开展</w:t>
      </w:r>
      <w:r>
        <w:rPr>
          <w:rFonts w:hint="eastAsia" w:ascii="宋体" w:hAnsi="宋体" w:eastAsia="宋体" w:cs="宋体"/>
          <w:color w:val="000000"/>
          <w:sz w:val="24"/>
          <w:szCs w:val="24"/>
          <w:highlight w:val="none"/>
        </w:rPr>
        <w:t xml:space="preserve">考评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0"/>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2、考评方法：</w:t>
      </w:r>
      <w:r>
        <w:rPr>
          <w:rFonts w:hint="eastAsia" w:ascii="宋体" w:hAnsi="宋体" w:eastAsia="宋体" w:cs="宋体"/>
          <w:color w:val="000000"/>
          <w:sz w:val="24"/>
          <w:szCs w:val="24"/>
          <w:highlight w:val="none"/>
        </w:rPr>
      </w:r>
      <w:r/>
    </w:p>
    <w:p>
      <w:pPr>
        <w:pStyle w:val="840"/>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社区及物管会考核小区：每月由社区及物管会负责，考核各自辖区内的住宅小区保洁服务工作，根据各小区保洁服务合同内容和小区的实际情况进行考核。考核为即时扣分，次月5号前社区将考核结果电子版、纸质版（加盖公章）交至物管科。</w:t>
      </w:r>
      <w:r>
        <w:rPr>
          <w:rFonts w:hint="eastAsia" w:ascii="宋体" w:hAnsi="宋体" w:eastAsia="宋体" w:cs="宋体"/>
          <w:color w:val="000000"/>
          <w:sz w:val="24"/>
          <w:szCs w:val="24"/>
          <w:highlight w:val="none"/>
        </w:rPr>
      </w:r>
      <w:r/>
    </w:p>
    <w:p>
      <w:pPr>
        <w:pStyle w:val="840"/>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（2）街道物管科考核小区：物管科负责每月对辖区内的住宅小区保洁企业的服务管理工作进行考核，包括基础台账、设施设备及现场环境等方面。</w:t>
      </w:r>
      <w:r>
        <w:rPr>
          <w:rFonts w:hint="eastAsia" w:ascii="宋体" w:hAnsi="宋体" w:eastAsia="宋体" w:cs="宋体"/>
          <w:color w:val="000000"/>
          <w:sz w:val="24"/>
          <w:szCs w:val="24"/>
          <w:highlight w:val="none"/>
        </w:rPr>
      </w:r>
      <w:r/>
    </w:p>
    <w:p>
      <w:pPr>
        <w:pStyle w:val="840"/>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（3）文明城市、长效管理检查：按区、街道对文明城市检查标准，长效管理考核要求进行全面考核。</w:t>
      </w:r>
      <w:r>
        <w:rPr>
          <w:rFonts w:hint="eastAsia" w:ascii="宋体" w:hAnsi="宋体" w:eastAsia="宋体" w:cs="宋体"/>
          <w:color w:val="000000"/>
          <w:sz w:val="24"/>
          <w:szCs w:val="24"/>
          <w:highlight w:val="none"/>
        </w:rPr>
      </w:r>
      <w:r/>
    </w:p>
    <w:p>
      <w:pPr>
        <w:pStyle w:val="840"/>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（4）市、区房管局考核：房管局每季度对小区随机抽查。</w:t>
      </w:r>
      <w:r>
        <w:rPr>
          <w:rFonts w:hint="eastAsia" w:ascii="宋体" w:hAnsi="宋体" w:eastAsia="宋体" w:cs="宋体"/>
          <w:color w:val="000000"/>
          <w:sz w:val="24"/>
          <w:szCs w:val="24"/>
          <w:highlight w:val="none"/>
        </w:rPr>
      </w:r>
      <w:r/>
    </w:p>
    <w:p>
      <w:pPr>
        <w:pStyle w:val="84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0"/>
        <w:jc w:val="center"/>
        <w:spacing w:line="360" w:lineRule="auto"/>
        <w:rPr>
          <w:rFonts w:ascii="宋体" w:hAnsi="宋体"/>
          <w:b/>
          <w:color w:val="000000"/>
          <w:sz w:val="36"/>
          <w:szCs w:val="36"/>
          <w:highlight w:val="none"/>
        </w:rPr>
        <w:outlineLvl w:val="0"/>
      </w:pPr>
      <w:r/>
      <w:bookmarkStart w:id="815" w:name="_Toc13507"/>
      <w:r>
        <w:rPr>
          <w:rFonts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910"/>
        <w:rPr>
          <w:rFonts w:ascii="宋体" w:hAnsi="宋体"/>
          <w:b/>
          <w:color w:val="000000"/>
          <w:sz w:val="36"/>
          <w:szCs w:val="36"/>
          <w:highlight w:val="none"/>
        </w:rPr>
      </w:pPr>
      <w:r>
        <w:rPr>
          <w:rFonts w:ascii="宋体" w:hAnsi="宋体"/>
          <w:b/>
          <w:color w:val="000000"/>
          <w:sz w:val="36"/>
          <w:szCs w:val="36"/>
          <w:highlight w:val="none"/>
        </w:rPr>
      </w:r>
      <w:r/>
    </w:p>
    <w:p>
      <w:pPr>
        <w:pStyle w:val="840"/>
        <w:rPr>
          <w:rFonts w:ascii="宋体" w:hAnsi="宋体"/>
          <w:b/>
          <w:color w:val="000000"/>
          <w:sz w:val="36"/>
          <w:szCs w:val="36"/>
          <w:highlight w:val="none"/>
        </w:rPr>
      </w:pPr>
      <w:r>
        <w:rPr>
          <w:rFonts w:ascii="宋体" w:hAnsi="宋体"/>
          <w:b/>
          <w:color w:val="000000"/>
          <w:sz w:val="36"/>
          <w:szCs w:val="36"/>
          <w:highlight w:val="none"/>
        </w:rPr>
      </w:r>
      <w:r/>
    </w:p>
    <w:p>
      <w:pPr>
        <w:pStyle w:val="910"/>
        <w:rPr>
          <w:rFonts w:ascii="宋体" w:hAnsi="宋体"/>
          <w:b/>
          <w:color w:val="000000"/>
          <w:sz w:val="36"/>
          <w:szCs w:val="36"/>
          <w:highlight w:val="none"/>
        </w:rPr>
      </w:pPr>
      <w:r>
        <w:rPr>
          <w:rFonts w:ascii="宋体" w:hAnsi="宋体"/>
          <w:b/>
          <w:color w:val="000000"/>
          <w:sz w:val="36"/>
          <w:szCs w:val="36"/>
          <w:highlight w:val="none"/>
        </w:rPr>
      </w:r>
      <w:r/>
    </w:p>
    <w:p>
      <w:pPr>
        <w:pStyle w:val="840"/>
        <w:rPr>
          <w:rFonts w:ascii="宋体" w:hAnsi="宋体"/>
          <w:b/>
          <w:color w:val="000000"/>
          <w:sz w:val="36"/>
          <w:szCs w:val="36"/>
          <w:highlight w:val="none"/>
        </w:rPr>
      </w:pPr>
      <w:r>
        <w:rPr>
          <w:rFonts w:ascii="宋体" w:hAnsi="宋体"/>
          <w:b/>
          <w:color w:val="000000"/>
          <w:sz w:val="36"/>
          <w:szCs w:val="36"/>
          <w:highlight w:val="none"/>
        </w:rPr>
      </w:r>
      <w:r/>
    </w:p>
    <w:p>
      <w:pPr>
        <w:pStyle w:val="910"/>
        <w:rPr>
          <w:color w:val="000000"/>
          <w:highlight w:val="none"/>
        </w:rPr>
      </w:pPr>
      <w:r>
        <w:rPr>
          <w:color w:val="000000"/>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rPr>
      </w:r>
      <w:r/>
    </w:p>
    <w:p>
      <w:pPr>
        <w:pStyle w:val="840"/>
        <w:ind w:firstLine="5822"/>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合同签订时间:</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w:t>
      </w:r>
      <w:r>
        <w:rPr>
          <w:rFonts w:hint="eastAsia" w:ascii="宋体" w:hAnsi="宋体" w:eastAsia="宋体" w:cs="宋体"/>
          <w:color w:val="000000"/>
          <w:sz w:val="24"/>
          <w:szCs w:val="24"/>
          <w:highlight w:val="none"/>
          <w:lang w:eastAsia="zh-CN"/>
        </w:rPr>
        <w:t xml:space="preserve">甲乙双方</w:t>
      </w:r>
      <w:r>
        <w:rPr>
          <w:rFonts w:hint="eastAsia" w:ascii="宋体" w:hAnsi="宋体" w:eastAsia="宋体" w:cs="宋体"/>
          <w:color w:val="000000"/>
          <w:sz w:val="24"/>
          <w:szCs w:val="24"/>
          <w:highlight w:val="none"/>
        </w:rPr>
        <w:t xml:space="preserve">经协商一致，订立本合同，以便共同遵守。</w:t>
      </w:r>
      <w:r>
        <w:rPr>
          <w:rFonts w:hint="eastAsia" w:ascii="宋体" w:hAnsi="宋体" w:eastAsia="宋体" w:cs="宋体"/>
          <w:color w:val="000000"/>
          <w:sz w:val="24"/>
          <w:szCs w:val="24"/>
          <w:highlight w:val="none"/>
        </w:rPr>
      </w:r>
      <w:r/>
    </w:p>
    <w:p>
      <w:pPr>
        <w:pStyle w:val="840"/>
        <w:numPr>
          <w:ilvl w:val="0"/>
          <w:numId w:val="0"/>
        </w:numPr>
        <w:jc w:val="center"/>
        <w:keepLines w:val="0"/>
        <w:keepNext w:val="0"/>
        <w:pageBreakBefore w:val="0"/>
        <w:spacing w:line="24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合同标的</w:t>
      </w:r>
      <w:r>
        <w:rPr>
          <w:rFonts w:hint="eastAsia" w:ascii="宋体" w:hAnsi="宋体" w:eastAsia="宋体" w:cs="宋体"/>
          <w:b/>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rPr>
        <w:t xml:space="preserve">等</w:t>
      </w:r>
      <w:r>
        <w:rPr>
          <w:rFonts w:hint="eastAsia" w:ascii="宋体" w:hAnsi="宋体" w:eastAsia="宋体" w:cs="宋体"/>
          <w:color w:val="000000"/>
          <w:sz w:val="24"/>
          <w:szCs w:val="24"/>
          <w:highlight w:val="none"/>
        </w:rPr>
        <w:t xml:space="preserve">委托乙方实行保洁管理服务。</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840"/>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本项目服务地点位于常州市新北区三井街道。本次采购服务合同一年一签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服务期限开始时间从接到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通知之日起开始计算。合同到期后，根据甲方考核情况续签下一年合同。最多续签二次。</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上述情况以现场实际为准。</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二、委托保洁服务事项详见招标文件基本情况及服务要求。</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三、保洁服务委托期限</w:t>
      </w:r>
      <w:r>
        <w:rPr>
          <w:rFonts w:hint="eastAsia" w:ascii="宋体" w:hAnsi="宋体" w:eastAsia="宋体" w:cs="宋体"/>
          <w:bCs/>
          <w:color w:val="000000"/>
          <w:sz w:val="24"/>
          <w:szCs w:val="24"/>
          <w:highlight w:val="none"/>
        </w:rPr>
        <w:t xml:space="preserve">服务时间暂定壹年</w:t>
      </w:r>
      <w:r>
        <w:rPr>
          <w:rFonts w:hint="eastAsia" w:ascii="宋体" w:hAnsi="宋体" w:eastAsia="宋体" w:cs="宋体"/>
          <w:color w:val="000000"/>
          <w:sz w:val="24"/>
          <w:szCs w:val="24"/>
          <w:highlight w:val="none"/>
        </w:rPr>
        <w:t xml:space="preserve">。其中：第一年的前三个月为试用期，试用期满经甲方考核合格后，本合同有效。一年合同期满经甲方考核满意后，可签订下一年合同，最多续签二次。</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第二条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保洁服务管理方式</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1、乙方以包工包料、包易耗品的形式承包上述小区的保洁服务，具体情况如下：</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洁主要服务事项：小区外围道路、绿化带内及河道内的垃圾清理；各单元大堂、各单位顶层平台及消防楼道的保洁；小区内各种景观小品、雕塑、路灯、草坪灯、健身器材的清洁；2M以下外墙清洁及各单元消防楼道内外玻璃清洁；垃圾收集及垃圾堆放点的消毒清洁；小区内所有排水口、路面雨水沟清洁；小区绿化带、公共楼梯、雨水井等部位之消杀工作；小区绿化养护；小区水景、喷水池垃圾清理；对承包范围内道路进行日常机械清扫、洒水、冲洗、清洗作业。</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2）乙方承担所有有关管理区域环境保洁所需的清洁、洗涤药剂；清洁用品及耗材；生活（黑色）垃圾袋；地面和物体表面擦拭用的消毒剂；保洁（除垃圾箱外）、运送工具、设备及耗材等。道路清扫车辆等</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3）服务管理操作中，所有必要的能源消耗费用，如：保洁用水、电均由甲方/管理方承担。</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4）承包期内基于现有绿化和绿化设施发生的一切与养护有关的费用由乙方承担；</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期内河道保洁服务的需要的人工费（包括人员工资、社保、保险、夏季高温费、保险费），智能通讯工具、保洁工具和保洁用船等相关机械设备使用费、安全生产费用、以及在河道水域保洁过程中发生的一切费用由乙方承担。</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2、人事</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1）乙方之驻场管理人选须得到甲方的认可，任何更换驻场主管计划均应得到甲方的提前同意并备案。在未获得甲方同意之前不得更换。如甲方要求更换驻场主管或员工，乙方则应在15天内无条件更换。</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2）因乙方人员素质达不到要求，而自行增加的人员，甲方/管理方不予增加预算，其费用由乙方自行承担。</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3）乙方应保证人员出勤率，不得出现人员缺编（勤）情况。否则，甲方将按照缺编（勤）人数、时间及平均人员单价进行扣款。</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4）按照甲乙双方核定的作业人数为当班作业人数，甲方可不定时组织现场人员核查，遇有病事假人员、应在每天9:00前通报甲方管理部门进行登记。</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第三条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甲方的权利和义务</w:t>
      </w:r>
      <w:r>
        <w:rPr>
          <w:rFonts w:hint="eastAsia" w:ascii="宋体" w:hAnsi="宋体" w:eastAsia="宋体" w:cs="宋体"/>
          <w:b/>
          <w:color w:val="000000"/>
          <w:sz w:val="24"/>
          <w:szCs w:val="24"/>
          <w:highlight w:val="none"/>
        </w:rPr>
      </w:r>
      <w:r/>
    </w:p>
    <w:p>
      <w:pPr>
        <w:pStyle w:val="937"/>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代表和维护产权人及使用人的合法权益；</w:t>
      </w:r>
      <w:r>
        <w:rPr>
          <w:rFonts w:hint="eastAsia" w:ascii="宋体" w:hAnsi="宋体" w:eastAsia="宋体" w:cs="宋体"/>
          <w:color w:val="000000"/>
          <w:sz w:val="24"/>
          <w:szCs w:val="24"/>
          <w:highlight w:val="none"/>
        </w:rPr>
      </w:r>
      <w:r/>
    </w:p>
    <w:p>
      <w:pPr>
        <w:pStyle w:val="937"/>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在处理特殊事件和紧急、突发事件时，甲方对服务单位的人员有直接指挥权；</w:t>
      </w:r>
      <w:r>
        <w:rPr>
          <w:rFonts w:hint="eastAsia" w:ascii="宋体" w:hAnsi="宋体" w:eastAsia="宋体" w:cs="宋体"/>
          <w:color w:val="000000"/>
          <w:sz w:val="24"/>
          <w:szCs w:val="24"/>
          <w:highlight w:val="none"/>
        </w:rPr>
      </w:r>
      <w:r/>
    </w:p>
    <w:p>
      <w:pPr>
        <w:pStyle w:val="937"/>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负责处理非乙方原因而产生的各种纠纷；</w:t>
      </w:r>
      <w:r>
        <w:rPr>
          <w:rFonts w:hint="eastAsia" w:ascii="宋体" w:hAnsi="宋体" w:eastAsia="宋体" w:cs="宋体"/>
          <w:color w:val="000000"/>
          <w:sz w:val="24"/>
          <w:szCs w:val="24"/>
          <w:highlight w:val="none"/>
        </w:rPr>
      </w:r>
      <w:r/>
    </w:p>
    <w:p>
      <w:pPr>
        <w:pStyle w:val="937"/>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检查监督乙方制定保洁（周、月、季）计划；</w:t>
      </w:r>
      <w:r>
        <w:rPr>
          <w:rFonts w:hint="eastAsia" w:ascii="宋体" w:hAnsi="宋体" w:eastAsia="宋体" w:cs="宋体"/>
          <w:color w:val="000000"/>
          <w:sz w:val="24"/>
          <w:szCs w:val="24"/>
          <w:highlight w:val="none"/>
        </w:rPr>
      </w:r>
      <w:r/>
    </w:p>
    <w:p>
      <w:pPr>
        <w:pStyle w:val="937"/>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检查监督乙方管理工作的实施及制度的执行情况；</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基于合理原因要求乙方随时更换任何保洁人员或绿化养护人员。</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如甲方在本合同履行期间内决定减少作业人员数量，应当提前一个月以书面形式通知乙方，保洁费用的减少应当根据乙方报价书中人员费用预算标准的人员单价进行。</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无偿向乙方提供甲方可以提供的办公和储物场所。</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保证保洁场所的必要照明、用电、用水。</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通知并指出乙方保洁人员的服务中所有缺点和违纪行为，以便乙方即时采取必要的措施。如乙方发生违反本协议约定保洁标准，甲方先发警告通知书，并通知乙方负责人前来处理，要求乙方即时加工或返工；如仍未改正，每次除按考核办法进行扣分、处罚外，三次以上甲方有权终止承包协议。</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按照甲方制定的日常保洁工作标准及考评办法，每天对乙方的保洁工作进行考评，将考评情况及时反馈给乙方，要求限时整改，未及时整改或整改不到位的，每次除按考核办法进行扣分、处罚外，三次以上甲方有权终止承包协议。在市、区城市长效管理考评中发现问题并扣分的，每次除按考核办法进行扣分、处罚外，二次以上甲方有权终止承包协议。</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保守因履行本合同并获取的乙方保洁程序，运行信息和其他商业秘密。</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每月按时将审定后的服务费用支付给乙方。</w:t>
      </w:r>
      <w:r>
        <w:rPr>
          <w:rFonts w:hint="eastAsia" w:ascii="宋体" w:hAnsi="宋体" w:eastAsia="宋体" w:cs="宋体"/>
          <w:color w:val="000000"/>
          <w:sz w:val="24"/>
          <w:szCs w:val="24"/>
          <w:highlight w:val="none"/>
        </w:rPr>
      </w:r>
      <w:r/>
    </w:p>
    <w:p>
      <w:pPr>
        <w:pStyle w:val="840"/>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法规、政策规定由甲方承担的其他责任。</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乙方的权利和义务</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1、乙方有义务为甲方更换提供服务的作业人员，乙方应当将人员变更情况提前5个工作日通知甲方，经甲方认可后方可进行。</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2、基于专业技能并根据甲方要求对甲方提供妥善的保洁等方面的建议。</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3、严格按照双方固定的人员配置，不得减少每班的固定人数（除非甲方有特别指示）。</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4、乙方承担派驻的作业人员的薪资、奖金、各类保险、抚恤金等费用。</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5、根据甲方的要求随时更换任何作业人员和管理人员。</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依照工作内容确实履行职责，并依实际工作情况，每日填写保洁、养护等巡查表，甲方随时抽查，如有虚伪不实的记录或拒绝甲方抽查的情况发生，甲方将视其情况的严重程度进行罚款（每次至少贰佰元）。</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7、乙方相关人员或其接洽的其他客户到甲方参观，应事先征得甲方的书面同意，未经同意擅自进入参观，如因此造成甲方任何损失的，甲方除有权要求乙方赔偿外并可终止合同。</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8、正常使用甲方无偿提供的办公和储物场所，并负责做好上述场所的治安、消防等安全管理工作。</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9、乙方应于每月最后一日以书面形式向甲方提供一份当月的工作执行与完成情况记录和下个月的工作计划。</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10、乙方亦自行购买驻场人员保险，任何情况下发生安全事故，均由乙方负责。</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11、乙方在履行合同过程中必须使用乙方在报价时甲方认可的各类机器、设备、工具、易耗品及品牌和数量，如需调换及减少需要得到甲方的认可。</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12、乙方在履行合同过程中不得因机器设备发生故障、不足或人员原因（请假、辞职）等情况，影响甲方的现场管理要求或降低服务标准。</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13、乙方应遵守安全生产、文明施工的有关规定，在保洁服务合同期内，规范操作，下去严格的安全措施，如有任何安全或偷盗事故发生，其责任与费用由乙方自行承担。</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乙方保洁人员应服从甲方的管理和指挥，遵守甲方的各项管理制度。认真配合并完成其他特殊清洁事项，如遇台风、水浸、火灾等意外情况，有义务在小区管理部门的统一指挥下参加抢险。如有上级部门等来小区参观检查前，乙方需免费增派清洁员工，加班加点。对显要的部位及卫生死角进行突击清洁。</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15、乙方在履行合同过程中不得因物料、易耗品短缺而影响保洁工作正常运行。</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16、乙方应向甲方提供现场作业所有人员的详细资料（身份证复印件、一寸彩色免冠相片一张、学历证、健康证、入职登记表等），并提甲方。</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17、乙方服务人员须服从甲方管理人员的管理；</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18、严格按照甲方制定的服务要求完成各项工作</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19、法规、政策规定由乙方承担的其他责任。</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第五条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乙方人员劳动纪律及仪表仪态要求</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1、不得迟到、早退。</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2、当班时间不得串岗、离岗（特许除外）闲聊、勾肩搭背、大声喧哗。</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3、员工不得不按规定穿着制服，服装不干净或衣冠不整，不佩戴胸卡，胸卡上无照片或并非本人照片。</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4、男员工不得留长发、头发不干净，留胡须、剃光头，女员工不得佩戴金银首饰、浓妆、涂指甲油、留长指甲。</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5、员工不得在公共区域内抽烟、随地吐痰、乱丢杂物。</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6、当值期间不得打私人电话。</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7、当班时不得睡觉、打牌、看书或办其他私事等。</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8、服从上级指令，完成指派的工作。</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9、不得有偷窃、打架行为。</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10、不得进行任何形式的赌博活动。</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11、不得在任何情况下和顾客、租户发生争执。</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12、在任何区域发现客人遗留物品应即时上交。</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13、当班时不准接待亲朋好友，如需必要，应先告知主管，并请其安排事宜。</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14、上班之前必须列队召开班前例会，下岗后必须列队召开班后会，由主管总结一天的工作，提出批评和表扬以及跟进事宜。</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15、以上条款如有违反，甲方有权责令其改正并记录在案。</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第六条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乙方员工岗位资格要求</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1、每位保洁员必须培训合格后方可进驻现场，上岗保洁员做到会使用常规清洁、保洁专业工具和器具，懂得客户服务礼仪，有较强的服务意识和责任心等。</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2、乙方在派遣的驻场管理人员必须具备3年以上同行业同职工作经验，能熟练操作各类清洁工作工具，具有良好的组织、沟通和协调能力。</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第七条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员工制服</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所有在甲方工作的保洁员必须着统一制服和标识，其费用由乙方自行承担。</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保洁费用</w:t>
      </w:r>
      <w:r>
        <w:rPr>
          <w:rFonts w:hint="eastAsia" w:ascii="宋体" w:hAnsi="宋体" w:eastAsia="宋体" w:cs="宋体"/>
          <w:b/>
          <w:color w:val="000000"/>
          <w:sz w:val="24"/>
          <w:szCs w:val="24"/>
          <w:highlight w:val="none"/>
        </w:rPr>
      </w:r>
      <w:r/>
    </w:p>
    <w:p>
      <w:pPr>
        <w:pStyle w:val="840"/>
        <w:numPr>
          <w:ilvl w:val="0"/>
          <w:numId w:val="9"/>
        </w:numPr>
        <w:ind w:firstLine="480"/>
        <w:keepLines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合同总价（本次服务的全部费用）为：人民币：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840"/>
        <w:numPr>
          <w:ilvl w:val="0"/>
          <w:numId w:val="9"/>
        </w:numPr>
        <w:ind w:firstLine="480"/>
        <w:keepLines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根据苏财购〔2020〕52号文件，合同签订后乙方进场前甲方支付一年合同金额的</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%的预付款，人民币：</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0"/>
        <w:numPr>
          <w:ilvl w:val="0"/>
          <w:numId w:val="9"/>
        </w:numPr>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剩余费用</w:t>
      </w:r>
      <w:r>
        <w:rPr>
          <w:rFonts w:hint="eastAsia" w:ascii="宋体" w:hAnsi="宋体" w:eastAsia="宋体" w:cs="宋体"/>
          <w:bCs/>
          <w:color w:val="000000"/>
          <w:sz w:val="24"/>
          <w:szCs w:val="24"/>
          <w:highlight w:val="none"/>
        </w:rPr>
        <w:t xml:space="preserve">根据对乙方的考核业绩每月按实支付。</w:t>
      </w:r>
      <w:r>
        <w:rPr>
          <w:rFonts w:hint="eastAsia" w:ascii="宋体" w:hAnsi="宋体" w:eastAsia="宋体" w:cs="宋体"/>
          <w:color w:val="000000"/>
          <w:sz w:val="24"/>
          <w:szCs w:val="24"/>
          <w:highlight w:val="none"/>
        </w:rPr>
        <w:t xml:space="preserve">每月 10 日前支付上月服务费用（此费用包括材料费、机械折旧费、维修费、员工工资、福利费、管理费、上缴税金等所有费用）。</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第九条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合同期限</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本合同期满，甲方决定不再委托乙方管理应提前三个月书面通知乙方，乙方决定不再接受委托的应提前三个月书面通知甲方。本合同期满，甲方没有将续聘或解聘乙方的意见通知乙方，且没有新聘的单位，乙方继续管理的，视为合同继续延续。延续期为原合同的期限。合同自动延续期间，甲方决定不再委托乙方的，应提前三个月书面通知乙方；乙方决定不再延续管理的，应提前三个月书面通知甲方。</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2、本合同终止时，乙方应协助甲方做好交接和善后工作。</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其他约定</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1、服务范围内小区的垃圾回收收益由乙方享有（垃圾必须是业主废弃之垃圾），废弃物需及时清理，不得存放在小区内任何公共部位，如造成任何安全事故，赔偿责任均由乙方负责。</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应严格履行本合同，如乙方不能按照协议约定的服务标准完成工作，且在甲方下发“责令整改通知书”后仍未有有效整改，甲方有权随时解除本合同；甲方连续三个月无故拖欠应付的服务费，乙方有权提前终止合同。</w:t>
      </w:r>
      <w:r>
        <w:rPr>
          <w:rFonts w:hint="eastAsia" w:ascii="宋体" w:hAnsi="宋体" w:eastAsia="宋体" w:cs="宋体"/>
          <w:color w:val="000000"/>
          <w:sz w:val="24"/>
          <w:szCs w:val="24"/>
          <w:highlight w:val="none"/>
        </w:rPr>
      </w:r>
      <w:r/>
    </w:p>
    <w:p>
      <w:pPr>
        <w:pStyle w:val="840"/>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2、甲乙双方无正当理由不得无故终止合同，否则，违约方应向守约方支付相当于一个月的保洁费作为违约金。</w:t>
      </w:r>
      <w:r>
        <w:rPr>
          <w:rFonts w:hint="eastAsia" w:ascii="宋体" w:hAnsi="宋体" w:eastAsia="宋体" w:cs="宋体"/>
          <w:color w:val="000000"/>
          <w:sz w:val="24"/>
          <w:szCs w:val="24"/>
          <w:highlight w:val="none"/>
        </w:rPr>
      </w:r>
      <w:r/>
    </w:p>
    <w:p>
      <w:pPr>
        <w:pStyle w:val="840"/>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第十二条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合同的转让</w:t>
      </w:r>
      <w:r>
        <w:rPr>
          <w:rFonts w:hint="eastAsia" w:ascii="宋体" w:hAnsi="宋体" w:eastAsia="宋体" w:cs="宋体"/>
          <w:b/>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第十三条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（1）向甲方所在地有管辖权的人民法院提起诉讼；</w:t>
      </w:r>
      <w:r>
        <w:rPr>
          <w:rFonts w:hint="eastAsia" w:ascii="宋体" w:hAnsi="宋体" w:eastAsia="宋体" w:cs="宋体"/>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（2）向常州仲裁委员会按其仲裁规则申请仲裁。</w:t>
      </w:r>
      <w:r>
        <w:rPr>
          <w:rFonts w:hint="eastAsia" w:ascii="宋体" w:hAnsi="宋体" w:eastAsia="宋体" w:cs="宋体"/>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2、在诉讼期间，本合同应继续履行。</w:t>
      </w:r>
      <w:r>
        <w:rPr>
          <w:rFonts w:hint="eastAsia" w:ascii="宋体" w:hAnsi="宋体" w:eastAsia="宋体" w:cs="宋体"/>
          <w:color w:val="000000"/>
          <w:sz w:val="24"/>
          <w:szCs w:val="24"/>
          <w:highlight w:val="none"/>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诚实信用</w:t>
      </w:r>
      <w:r>
        <w:rPr>
          <w:rFonts w:hint="eastAsia" w:ascii="宋体" w:hAnsi="宋体" w:eastAsia="宋体" w:cs="宋体"/>
          <w:b/>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乙方应诚实信用，严格按照谈判文件要求和承诺履行合同，不向甲方进行商业贿赂或者提供不正当利益。</w:t>
      </w:r>
      <w:r>
        <w:rPr>
          <w:rFonts w:hint="eastAsia" w:ascii="宋体" w:hAnsi="宋体" w:eastAsia="宋体" w:cs="宋体"/>
          <w:color w:val="000000"/>
          <w:sz w:val="24"/>
          <w:szCs w:val="24"/>
          <w:highlight w:val="none"/>
          <w:lang w:val="zh-CN"/>
        </w:rPr>
      </w:r>
      <w:r/>
    </w:p>
    <w:p>
      <w:pPr>
        <w:pStyle w:val="840"/>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第十五条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840"/>
        <w:numPr>
          <w:ilvl w:val="0"/>
          <w:numId w:val="0"/>
        </w:numPr>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本合同自签订之日起成立生效。</w:t>
      </w:r>
      <w:r>
        <w:rPr>
          <w:rFonts w:hint="eastAsia" w:ascii="宋体" w:hAnsi="宋体" w:eastAsia="宋体" w:cs="宋体"/>
          <w:color w:val="000000"/>
          <w:sz w:val="24"/>
          <w:szCs w:val="24"/>
          <w:highlight w:val="none"/>
        </w:rPr>
      </w:r>
      <w:r/>
    </w:p>
    <w:p>
      <w:pPr>
        <w:pStyle w:val="840"/>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eastAsia="zh-CN"/>
        </w:rPr>
        <w:t xml:space="preserve">伍</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壹</w:t>
      </w:r>
      <w:r>
        <w:rPr>
          <w:rFonts w:hint="eastAsia" w:ascii="宋体" w:hAnsi="宋体" w:eastAsia="宋体" w:cs="宋体"/>
          <w:color w:val="000000"/>
          <w:sz w:val="24"/>
          <w:szCs w:val="24"/>
          <w:highlight w:val="none"/>
        </w:rPr>
        <w:t xml:space="preserve">份交</w:t>
      </w:r>
      <w:r>
        <w:rPr>
          <w:rFonts w:hint="eastAsia" w:ascii="宋体" w:hAnsi="宋体" w:eastAsia="宋体" w:cs="宋体"/>
          <w:color w:val="000000"/>
          <w:sz w:val="24"/>
          <w:szCs w:val="24"/>
          <w:highlight w:val="none"/>
          <w:u w:val="none"/>
          <w:lang w:val="en-US" w:eastAsia="zh-CN"/>
        </w:rPr>
        <w:t xml:space="preserve">代理机构</w:t>
      </w:r>
      <w:r>
        <w:rPr>
          <w:rFonts w:hint="eastAsia" w:ascii="宋体" w:hAnsi="宋体" w:eastAsia="宋体" w:cs="宋体"/>
          <w:color w:val="000000"/>
          <w:sz w:val="24"/>
          <w:szCs w:val="24"/>
          <w:highlight w:val="none"/>
        </w:rPr>
        <w:t xml:space="preserve">存档。</w:t>
      </w:r>
      <w:r>
        <w:rPr>
          <w:rFonts w:hint="eastAsia" w:ascii="宋体" w:hAnsi="宋体" w:eastAsia="宋体" w:cs="宋体"/>
          <w:color w:val="000000"/>
          <w:sz w:val="24"/>
          <w:szCs w:val="24"/>
          <w:highlight w:val="none"/>
        </w:rPr>
      </w:r>
      <w:r/>
    </w:p>
    <w:p>
      <w:pPr>
        <w:pStyle w:val="840"/>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本合同执行期间如遇不可抗力，致使合同无法履行时，双方应按有关法律规定及时协商处理。</w:t>
      </w:r>
      <w:r>
        <w:rPr>
          <w:rFonts w:hint="eastAsia" w:ascii="宋体" w:hAnsi="宋体" w:eastAsia="宋体" w:cs="宋体"/>
          <w:color w:val="000000"/>
          <w:sz w:val="24"/>
          <w:szCs w:val="24"/>
          <w:highlight w:val="none"/>
        </w:rPr>
      </w:r>
      <w:r/>
    </w:p>
    <w:p>
      <w:pPr>
        <w:pStyle w:val="840"/>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color w:val="000000"/>
          <w:sz w:val="24"/>
          <w:szCs w:val="24"/>
          <w:highlight w:val="none"/>
        </w:rPr>
      </w:r>
      <w:r/>
    </w:p>
    <w:p>
      <w:pPr>
        <w:pStyle w:val="840"/>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rPr>
          <w:rFonts w:hint="eastAsia"/>
          <w:color w:val="000000"/>
          <w:highlight w:val="none"/>
        </w:rPr>
      </w:pPr>
      <w:r>
        <w:rPr>
          <w:rFonts w:hint="eastAsia"/>
          <w:color w:val="000000"/>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甲方（采购人）：（盖章）                乙方（供应商）：（盖章）</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                                   账号：</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rPr>
      </w:r>
      <w:r/>
    </w:p>
    <w:p>
      <w:pPr>
        <w:pStyle w:val="84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日期：   年    月    日</w:t>
      </w:r>
      <w:r>
        <w:rPr>
          <w:rFonts w:hint="eastAsia" w:ascii="宋体" w:hAnsi="宋体" w:eastAsia="宋体" w:cs="宋体"/>
          <w:color w:val="000000"/>
          <w:sz w:val="24"/>
          <w:szCs w:val="24"/>
          <w:highlight w:val="none"/>
        </w:rPr>
      </w:r>
      <w:r/>
    </w:p>
    <w:p>
      <w:pPr>
        <w:pStyle w:val="840"/>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0"/>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0"/>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0"/>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2"/>
        <w:jc w:val="both"/>
        <w:keepLines w:val="0"/>
        <w:spacing w:line="36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附：             </w:t>
      </w:r>
      <w:r>
        <w:rPr>
          <w:rFonts w:hint="eastAsia" w:ascii="宋体" w:hAnsi="宋体" w:eastAsia="宋体" w:cs="宋体"/>
          <w:b w:val="0"/>
          <w:color w:val="000000"/>
          <w:sz w:val="24"/>
          <w:szCs w:val="24"/>
          <w:highlight w:val="none"/>
        </w:rPr>
      </w:r>
      <w:r/>
    </w:p>
    <w:p>
      <w:pPr>
        <w:pStyle w:val="842"/>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903"/>
        <w:ind w:firstLine="480"/>
        <w:spacing w:after="240" w:afterAutospacing="0" w:line="360" w:lineRule="auto"/>
        <w:rPr>
          <w:rFonts w:hint="eastAsia"/>
          <w:color w:val="000000"/>
          <w:highlight w:val="none"/>
        </w:rPr>
      </w:pPr>
      <w:r>
        <w:rPr>
          <w:rFonts w:hint="eastAsia"/>
          <w:color w:val="000000"/>
          <w:highlight w:val="none"/>
          <w:lang w:eastAsia="zh-CN"/>
        </w:rPr>
        <w:t xml:space="preserve">招标</w:t>
      </w:r>
      <w:r>
        <w:rPr>
          <w:rFonts w:hint="eastAsia"/>
          <w:color w:val="000000"/>
          <w:highlight w:val="none"/>
        </w:rPr>
        <w:t xml:space="preserve">人（甲方）：                         </w:t>
      </w:r>
      <w:r>
        <w:rPr>
          <w:rFonts w:hint="eastAsia"/>
          <w:color w:val="000000"/>
          <w:highlight w:val="none"/>
          <w:lang w:eastAsia="zh-CN"/>
        </w:rPr>
        <w:t xml:space="preserve">中标人</w:t>
      </w:r>
      <w:r>
        <w:rPr>
          <w:rFonts w:hint="eastAsia"/>
          <w:color w:val="000000"/>
          <w:highlight w:val="none"/>
        </w:rPr>
        <w:t xml:space="preserve">（乙方）：</w:t>
      </w:r>
      <w:r>
        <w:rPr>
          <w:rFonts w:hint="eastAsia"/>
          <w:color w:val="000000"/>
          <w:highlight w:val="none"/>
        </w:rPr>
      </w:r>
      <w:r/>
    </w:p>
    <w:p>
      <w:pPr>
        <w:pStyle w:val="903"/>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90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903"/>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903"/>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903"/>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903"/>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840"/>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outlineLvl w:val="0"/>
      </w:pPr>
      <w:r/>
      <w:bookmarkStart w:id="816" w:name="_Toc9705"/>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84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4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40"/>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40"/>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40"/>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40"/>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840"/>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40"/>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40"/>
        <w:rPr>
          <w:rFonts w:ascii="宋体" w:hAnsi="宋体"/>
          <w:b/>
          <w:color w:val="000000"/>
          <w:spacing w:val="20"/>
          <w:szCs w:val="21"/>
          <w:highlight w:val="none"/>
        </w:rPr>
      </w:pPr>
      <w:r>
        <w:rPr>
          <w:rFonts w:ascii="宋体" w:hAnsi="宋体"/>
          <w:b/>
          <w:color w:val="000000"/>
          <w:spacing w:val="20"/>
          <w:szCs w:val="21"/>
          <w:highlight w:val="none"/>
        </w:rPr>
      </w:r>
      <w:r/>
    </w:p>
    <w:p>
      <w:pPr>
        <w:pStyle w:val="84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40"/>
        <w:jc w:val="center"/>
        <w:rPr>
          <w:rFonts w:ascii="宋体" w:hAnsi="宋体"/>
          <w:color w:val="000000"/>
          <w:szCs w:val="21"/>
          <w:highlight w:val="none"/>
        </w:rPr>
      </w:pPr>
      <w:r>
        <w:rPr>
          <w:rFonts w:ascii="宋体" w:hAnsi="宋体"/>
          <w:color w:val="000000"/>
          <w:szCs w:val="21"/>
          <w:highlight w:val="none"/>
        </w:rPr>
      </w:r>
      <w:r/>
    </w:p>
    <w:p>
      <w:pPr>
        <w:pStyle w:val="84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4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4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4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4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40"/>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40"/>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40"/>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40"/>
        <w:rPr>
          <w:rFonts w:ascii="宋体" w:hAnsi="宋体"/>
          <w:b/>
          <w:color w:val="000000"/>
          <w:sz w:val="36"/>
          <w:highlight w:val="non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40"/>
        <w:jc w:val="center"/>
        <w:rPr>
          <w:rFonts w:ascii="宋体" w:hAnsi="宋体"/>
          <w:b/>
          <w:color w:val="000000"/>
          <w:sz w:val="32"/>
          <w:szCs w:val="32"/>
          <w:highlight w:val="none"/>
        </w:rPr>
      </w:pPr>
      <w:r>
        <w:rPr>
          <w:rFonts w:ascii="宋体" w:hAnsi="宋体"/>
          <w:b/>
          <w:color w:val="000000"/>
          <w:sz w:val="32"/>
          <w:szCs w:val="32"/>
          <w:highlight w:val="none"/>
        </w:rPr>
      </w:r>
      <w:r/>
    </w:p>
    <w:p>
      <w:pPr>
        <w:pStyle w:val="84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40"/>
        <w:rPr>
          <w:rFonts w:ascii="宋体" w:hAnsi="宋体"/>
          <w:b/>
          <w:color w:val="000000"/>
          <w:highlight w:val="none"/>
        </w:rPr>
      </w:pPr>
      <w:r>
        <w:rPr>
          <w:rFonts w:ascii="宋体" w:hAnsi="宋体"/>
          <w:b/>
          <w:color w:val="00000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84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84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55"/>
        <w:ind w:firstLine="480"/>
        <w:spacing w:line="460" w:lineRule="exact"/>
        <w:rPr>
          <w:rFonts w:hAnsi="宋体"/>
          <w:color w:val="000000"/>
          <w:highlight w:val="none"/>
        </w:rPr>
      </w:pP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85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55"/>
        <w:ind w:firstLine="480"/>
        <w:spacing w:line="460" w:lineRule="exact"/>
        <w:rPr>
          <w:rFonts w:hAnsi="宋体"/>
          <w:color w:val="000000"/>
          <w:highlight w:val="none"/>
        </w:rPr>
      </w:pP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5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5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5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55"/>
        <w:ind w:firstLine="480"/>
        <w:spacing w:line="460" w:lineRule="exact"/>
        <w:rPr>
          <w:rFonts w:hAnsi="宋体"/>
          <w:color w:val="000000"/>
          <w:highlight w:val="none"/>
        </w:rPr>
      </w:pP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55"/>
        <w:ind w:firstLine="480"/>
        <w:spacing w:line="460" w:lineRule="exact"/>
        <w:rPr>
          <w:rFonts w:hAnsi="宋体"/>
          <w:color w:val="000000"/>
          <w:highlight w:val="none"/>
        </w:rPr>
      </w:pPr>
      <w:r>
        <w:rPr>
          <w:rFonts w:hAnsi="宋体"/>
          <w:color w:val="000000"/>
          <w:highlight w:val="none"/>
        </w:rPr>
      </w:r>
      <w:r/>
    </w:p>
    <w:p>
      <w:pPr>
        <w:pStyle w:val="855"/>
        <w:ind w:firstLine="480"/>
        <w:spacing w:line="460" w:lineRule="exact"/>
        <w:rPr>
          <w:rFonts w:hAnsi="宋体"/>
          <w:color w:val="000000"/>
          <w:highlight w:val="none"/>
        </w:rPr>
      </w:pP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55"/>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55"/>
        <w:ind w:firstLine="4800"/>
        <w:spacing w:line="460" w:lineRule="exact"/>
        <w:rPr>
          <w:rFonts w:hint="eastAsia" w:hAnsi="宋体"/>
          <w:color w:val="000000"/>
          <w:highlight w:val="none"/>
        </w:rPr>
      </w:pPr>
      <w:r>
        <w:rPr>
          <w:rFonts w:hint="eastAsia" w:hAnsi="宋体"/>
          <w:color w:val="000000"/>
          <w:highlight w:val="none"/>
        </w:rPr>
        <w:t xml:space="preserve">日期：     </w:t>
      </w:r>
      <w:r>
        <w:rPr>
          <w:rFonts w:hint="eastAsia" w:hAnsi="宋体"/>
          <w:color w:val="000000"/>
          <w:highlight w:val="none"/>
          <w:lang w:val="en-US" w:eastAsia="zh-CN"/>
        </w:rPr>
        <w:t xml:space="preserve">  </w:t>
      </w:r>
      <w:r>
        <w:rPr>
          <w:rFonts w:hint="eastAsia" w:hAnsi="宋体"/>
          <w:color w:val="000000"/>
          <w:highlight w:val="none"/>
        </w:rPr>
        <w:t xml:space="preserve">年  月  日</w:t>
      </w:r>
      <w:r>
        <w:rPr>
          <w:rFonts w:hint="eastAsia" w:hAnsi="宋体"/>
          <w:color w:val="000000"/>
          <w:highlight w:val="none"/>
        </w:rPr>
      </w:r>
      <w:r/>
    </w:p>
    <w:p>
      <w:pPr>
        <w:pStyle w:val="84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4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840"/>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2 落实政府采购政策需满足的资格要求</w:t>
      </w:r>
      <w:r>
        <w:rPr>
          <w:rFonts w:hint="eastAsia" w:ascii="宋体" w:hAnsi="宋体"/>
          <w:color w:val="000000"/>
          <w:sz w:val="24"/>
          <w:szCs w:val="20"/>
          <w:highlight w:val="none"/>
        </w:rPr>
        <w:t xml:space="preserve">： </w:t>
      </w:r>
      <w:r>
        <w:rPr>
          <w:rFonts w:hint="eastAsia" w:ascii="宋体" w:hAnsi="宋体"/>
          <w:color w:val="000000"/>
          <w:sz w:val="24"/>
          <w:szCs w:val="20"/>
          <w:highlight w:val="none"/>
        </w:rPr>
      </w:r>
      <w:r/>
    </w:p>
    <w:p>
      <w:pPr>
        <w:pStyle w:val="840"/>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840"/>
        <w:spacing w:line="360" w:lineRule="auto"/>
        <w:tabs>
          <w:tab w:val="left" w:pos="5580" w:leader="none"/>
        </w:tabs>
        <w:rPr>
          <w:color w:val="000000"/>
          <w:sz w:val="24"/>
          <w:highlight w:val="none"/>
        </w:rPr>
      </w:pPr>
      <w:r>
        <w:rPr>
          <w:color w:val="000000"/>
          <w:sz w:val="24"/>
          <w:highlight w:val="none"/>
        </w:rPr>
      </w:r>
      <w:r/>
    </w:p>
    <w:p>
      <w:pPr>
        <w:pStyle w:val="840"/>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840"/>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840"/>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840"/>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840"/>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840"/>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840"/>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40"/>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840"/>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840"/>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40"/>
        <w:ind w:right="360" w:firstLine="480"/>
        <w:jc w:val="right"/>
        <w:spacing w:line="360" w:lineRule="auto"/>
        <w:rPr>
          <w:color w:val="000000"/>
          <w:sz w:val="24"/>
          <w:highlight w:val="none"/>
        </w:rPr>
      </w:pPr>
      <w:r>
        <w:rPr>
          <w:color w:val="000000"/>
          <w:sz w:val="24"/>
          <w:highlight w:val="none"/>
        </w:rPr>
      </w:r>
      <w:r/>
    </w:p>
    <w:p>
      <w:pPr>
        <w:pStyle w:val="840"/>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4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40"/>
        <w:jc w:val="left"/>
        <w:rPr>
          <w:color w:val="000000"/>
          <w:sz w:val="24"/>
          <w:szCs w:val="21"/>
          <w:highlight w:val="none"/>
        </w:rPr>
      </w:pPr>
      <w:r>
        <w:rPr>
          <w:color w:val="000000"/>
          <w:sz w:val="24"/>
          <w:szCs w:val="21"/>
          <w:highlight w:val="none"/>
        </w:rPr>
      </w:r>
      <w:r/>
    </w:p>
    <w:p>
      <w:pPr>
        <w:pStyle w:val="840"/>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40"/>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40"/>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40"/>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40"/>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40"/>
        <w:ind w:firstLine="504"/>
        <w:spacing w:line="588" w:lineRule="exact"/>
        <w:rPr>
          <w:color w:val="000000"/>
          <w:spacing w:val="6"/>
          <w:sz w:val="24"/>
          <w:highlight w:val="none"/>
        </w:rPr>
      </w:pPr>
      <w:r>
        <w:rPr>
          <w:color w:val="000000"/>
          <w:spacing w:val="6"/>
          <w:sz w:val="24"/>
          <w:highlight w:val="none"/>
        </w:rPr>
      </w:r>
      <w:r/>
    </w:p>
    <w:p>
      <w:pPr>
        <w:pStyle w:val="840"/>
        <w:ind w:firstLine="504"/>
        <w:spacing w:line="588" w:lineRule="exact"/>
        <w:rPr>
          <w:color w:val="000000"/>
          <w:spacing w:val="6"/>
          <w:sz w:val="24"/>
          <w:highlight w:val="none"/>
        </w:rPr>
      </w:pPr>
      <w:r>
        <w:rPr>
          <w:color w:val="000000"/>
          <w:spacing w:val="6"/>
          <w:sz w:val="24"/>
          <w:highlight w:val="none"/>
        </w:rPr>
      </w:r>
      <w:r/>
    </w:p>
    <w:p>
      <w:pPr>
        <w:pStyle w:val="84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40"/>
        <w:ind w:right="1560" w:firstLine="504"/>
        <w:jc w:val="center"/>
        <w:spacing w:line="588" w:lineRule="exact"/>
        <w:tabs>
          <w:tab w:val="left" w:pos="4860" w:leader="none"/>
        </w:tabs>
        <w:rPr>
          <w:rFonts w:hint="eastAsia"/>
          <w:color w:val="000000"/>
          <w:spacing w:val="6"/>
          <w:sz w:val="24"/>
          <w:highlight w:val="none"/>
        </w:rPr>
      </w:pPr>
      <w:r>
        <w:rPr>
          <w:color w:val="000000"/>
          <w:spacing w:val="6"/>
          <w:sz w:val="24"/>
          <w:highlight w:val="none"/>
        </w:rPr>
        <w:t xml:space="preserve">  日  期：</w:t>
      </w:r>
      <w:r>
        <w:rPr>
          <w:rFonts w:hint="eastAsia"/>
          <w:color w:val="000000"/>
          <w:spacing w:val="6"/>
          <w:sz w:val="24"/>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2-3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w:t>
      </w:r>
      <w:r>
        <w:rPr>
          <w:rFonts w:ascii="宋体" w:hAnsi="宋体"/>
          <w:color w:val="000000"/>
          <w:sz w:val="24"/>
          <w:szCs w:val="20"/>
          <w:highlight w:val="none"/>
        </w:rPr>
      </w:r>
      <w:r/>
    </w:p>
    <w:p>
      <w:pPr>
        <w:pStyle w:val="840"/>
        <w:jc w:val="left"/>
        <w:widowControl/>
        <w:rPr>
          <w:rFonts w:ascii="宋体" w:hAnsi="宋体"/>
          <w:color w:val="000000"/>
          <w:sz w:val="24"/>
          <w:highlight w:val="none"/>
        </w:rPr>
      </w:pPr>
      <w:r>
        <w:rPr>
          <w:rFonts w:ascii="宋体" w:hAnsi="宋体"/>
          <w:color w:val="000000"/>
          <w:sz w:val="24"/>
          <w:highlight w:val="none"/>
        </w:rPr>
      </w:r>
      <w:r/>
    </w:p>
    <w:p>
      <w:pPr>
        <w:pStyle w:val="840"/>
        <w:jc w:val="left"/>
        <w:widowControl/>
        <w:rPr>
          <w:rFonts w:hint="eastAsia" w:ascii="宋体" w:hAnsi="宋体"/>
          <w:color w:val="000000"/>
          <w:sz w:val="24"/>
          <w:highlight w:val="none"/>
        </w:rPr>
      </w:pPr>
      <w:r>
        <w:rPr>
          <w:rFonts w:ascii="宋体" w:hAnsi="宋体"/>
          <w:color w:val="000000"/>
          <w:sz w:val="24"/>
          <w:szCs w:val="20"/>
          <w:highlight w:val="none"/>
        </w:rPr>
        <w:t xml:space="preserve">3 </w:t>
      </w:r>
      <w:r>
        <w:rPr>
          <w:rFonts w:ascii="宋体" w:hAnsi="宋体"/>
          <w:color w:val="000000"/>
          <w:sz w:val="24"/>
          <w:highlight w:val="none"/>
        </w:rPr>
        <w:t xml:space="preserve">本项目的特定资格要求</w:t>
      </w:r>
      <w:r>
        <w:rPr>
          <w:rFonts w:hint="eastAsia" w:ascii="宋体" w:hAnsi="宋体"/>
          <w:color w:val="000000"/>
          <w:sz w:val="24"/>
          <w:highlight w:val="none"/>
        </w:rPr>
      </w:r>
      <w:r/>
    </w:p>
    <w:p>
      <w:pPr>
        <w:pStyle w:val="840"/>
        <w:spacing w:line="360" w:lineRule="auto"/>
        <w:rPr>
          <w:rFonts w:ascii="宋体" w:hAnsi="宋体"/>
          <w:color w:val="000000"/>
          <w:sz w:val="24"/>
          <w:highlight w:val="none"/>
        </w:rPr>
      </w:pPr>
      <w:r>
        <w:rPr>
          <w:rFonts w:ascii="宋体" w:hAnsi="宋体"/>
          <w:color w:val="000000"/>
          <w:sz w:val="24"/>
          <w:highlight w:val="none"/>
        </w:rPr>
      </w:r>
      <w:r/>
    </w:p>
    <w:p>
      <w:pPr>
        <w:pStyle w:val="840"/>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3-2其他特定资格要求</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840"/>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17" w:name="_Toc480942349"/>
      <w:r/>
      <w:bookmarkStart w:id="818" w:name="_Toc195842921"/>
      <w:r/>
      <w:bookmarkStart w:id="819" w:name="_Toc226965746"/>
      <w:r/>
      <w:bookmarkStart w:id="820" w:name="_Toc520356217"/>
      <w:r/>
      <w:bookmarkStart w:id="821" w:name="_Toc127151556"/>
      <w:r/>
      <w:bookmarkStart w:id="822" w:name="_Toc142311058"/>
      <w:r/>
      <w:bookmarkStart w:id="823" w:name="_Toc226337252"/>
      <w:r/>
      <w:bookmarkStart w:id="824" w:name="_Toc226309800"/>
      <w:r/>
      <w:bookmarkStart w:id="825" w:name="_Ref467988698"/>
      <w:r/>
      <w:bookmarkStart w:id="826" w:name="_Toc150480794"/>
      <w:r/>
      <w:bookmarkStart w:id="827" w:name="_Toc226965829"/>
      <w:r/>
      <w:bookmarkStart w:id="828" w:name="_Toc150774761"/>
      <w:r>
        <w:rPr>
          <w:rFonts w:hint="eastAsia" w:ascii="宋体" w:hAnsi="宋体"/>
          <w:b/>
          <w:color w:val="000000"/>
          <w:sz w:val="32"/>
          <w:szCs w:val="32"/>
          <w:highlight w:val="none"/>
        </w:rPr>
      </w:r>
      <w:r/>
    </w:p>
    <w:p>
      <w:pPr>
        <w:pStyle w:val="84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0"/>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84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4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4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4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4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4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4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4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4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84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4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4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4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4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4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84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40"/>
        <w:jc w:val="left"/>
        <w:widowControl/>
        <w:rPr>
          <w:rFonts w:hint="eastAsia" w:ascii="宋体" w:hAnsi="宋体"/>
          <w:color w:val="000000"/>
          <w:sz w:val="24"/>
          <w:highlight w:val="none"/>
        </w:rPr>
      </w:pPr>
      <w:r/>
      <w:bookmarkStart w:id="829" w:name="_Hlt520356243"/>
      <w:r/>
      <w:bookmarkEnd w:id="829"/>
      <w:r/>
      <w:bookmarkStart w:id="830" w:name="_Hlt520355938"/>
      <w:r/>
      <w:bookmarkEnd w:id="830"/>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4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40"/>
        <w:spacing w:line="560" w:lineRule="exact"/>
        <w:rPr>
          <w:rFonts w:ascii="宋体" w:hAnsi="宋体"/>
          <w:color w:val="000000"/>
          <w:sz w:val="24"/>
          <w:highlight w:val="none"/>
        </w:rPr>
      </w:pPr>
      <w:r>
        <w:rPr>
          <w:rFonts w:ascii="宋体" w:hAnsi="宋体"/>
          <w:color w:val="000000"/>
          <w:sz w:val="24"/>
          <w:highlight w:val="none"/>
        </w:rPr>
      </w:r>
      <w:r/>
    </w:p>
    <w:p>
      <w:pPr>
        <w:pStyle w:val="87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4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4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40"/>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spacing w:line="360" w:lineRule="auto"/>
        <w:rPr>
          <w:rFonts w:ascii="宋体" w:hAnsi="宋体"/>
          <w:b/>
          <w:color w:val="000000"/>
          <w:sz w:val="24"/>
          <w:highlight w:val="none"/>
        </w:rPr>
        <w:outlineLvl w:val="2"/>
      </w:pPr>
      <w:r>
        <w:rPr>
          <w:rFonts w:hint="eastAsia" w:ascii="宋体" w:hAnsi="宋体"/>
          <w:color w:val="000000"/>
          <w:sz w:val="24"/>
          <w:highlight w:val="none"/>
        </w:rPr>
        <w:br w:type="page" w:clear="all"/>
      </w:r>
      <w:r>
        <w:rPr>
          <w:rFonts w:ascii="宋体" w:hAnsi="宋体"/>
          <w:b/>
          <w:color w:val="000000"/>
          <w:sz w:val="24"/>
          <w:highlight w:val="none"/>
        </w:rPr>
        <w:t xml:space="preserve"> </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84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9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84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84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84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8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21"/>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84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4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4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4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4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4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8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840"/>
        <w:rPr>
          <w:rFonts w:hint="eastAsia" w:ascii="宋体" w:hAnsi="宋体" w:cs="宋体"/>
          <w:color w:val="000000"/>
          <w:szCs w:val="21"/>
          <w:highlight w:val="none"/>
        </w:rPr>
      </w:pPr>
      <w:r>
        <w:rPr>
          <w:rFonts w:hint="eastAsia" w:ascii="宋体" w:hAnsi="宋体" w:cs="宋体"/>
          <w:color w:val="000000"/>
          <w:szCs w:val="21"/>
          <w:highlight w:val="none"/>
        </w:rPr>
        <w:t xml:space="preserve">2.委托代理人参加投标时，需提供本授权委托书和本人身份证。</w:t>
      </w:r>
      <w:r>
        <w:rPr>
          <w:rFonts w:hint="eastAsia" w:ascii="宋体" w:hAnsi="宋体" w:cs="宋体"/>
          <w:color w:val="000000"/>
          <w:szCs w:val="21"/>
          <w:highlight w:val="none"/>
        </w:rPr>
      </w:r>
      <w:r/>
    </w:p>
    <w:p>
      <w:pPr>
        <w:pStyle w:val="1098"/>
        <w:spacing w:line="360" w:lineRule="exact"/>
        <w:rPr>
          <w:rFonts w:cs="宋体"/>
          <w:color w:val="000000"/>
          <w:sz w:val="21"/>
          <w:szCs w:val="21"/>
          <w:highlight w:val="none"/>
        </w:rPr>
      </w:pPr>
      <w:r>
        <w:rPr>
          <w:rFonts w:hint="eastAsia" w:cs="宋体"/>
          <w:color w:val="000000"/>
          <w:sz w:val="21"/>
          <w:szCs w:val="21"/>
          <w:highlight w:val="none"/>
        </w:rPr>
        <w:t xml:space="preserve">3.投标人为自然人的情形，可不提供本《授权委托书》。</w:t>
      </w:r>
      <w:r>
        <w:rPr>
          <w:rFonts w:cs="宋体"/>
          <w:color w:val="000000"/>
          <w:sz w:val="21"/>
          <w:szCs w:val="21"/>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40"/>
        <w:jc w:val="left"/>
        <w:widowControl/>
        <w:rPr>
          <w:rFonts w:hint="eastAsia" w:ascii="宋体" w:hAnsi="宋体"/>
          <w:color w:val="000000"/>
          <w:sz w:val="24"/>
          <w:highlight w:val="none"/>
        </w:rPr>
      </w:pP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40"/>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40"/>
        <w:ind w:firstLine="640"/>
        <w:rPr>
          <w:rFonts w:ascii="宋体" w:hAnsi="宋体"/>
          <w:color w:val="000000"/>
          <w:highlight w:val="none"/>
        </w:rPr>
      </w:pPr>
      <w:r>
        <w:rPr>
          <w:rFonts w:ascii="宋体" w:hAnsi="宋体"/>
          <w:color w:val="000000"/>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9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40"/>
        <w:jc w:val="left"/>
        <w:widowControl/>
        <w:rPr>
          <w:rFonts w:ascii="宋体" w:hAnsi="宋体"/>
          <w:color w:val="000000"/>
          <w:sz w:val="24"/>
          <w:szCs w:val="20"/>
          <w:highlight w:val="none"/>
        </w:rPr>
      </w:pPr>
      <w:r/>
      <w:bookmarkStart w:id="831" w:name="_Hlt520273711"/>
      <w:r/>
      <w:bookmarkEnd w:id="831"/>
      <w:r/>
      <w:bookmarkStart w:id="832" w:name="_Hlt520274407"/>
      <w:r/>
      <w:bookmarkEnd w:id="832"/>
      <w:r/>
      <w:bookmarkStart w:id="833" w:name="_Hlt520274393"/>
      <w:r/>
      <w:bookmarkEnd w:id="833"/>
      <w:r/>
      <w:bookmarkStart w:id="834" w:name="_Hlt520274065"/>
      <w:r/>
      <w:bookmarkEnd w:id="834"/>
      <w:r/>
      <w:bookmarkStart w:id="835" w:name="_Hlt520271212"/>
      <w:r/>
      <w:bookmarkEnd w:id="835"/>
      <w:r/>
      <w:bookmarkStart w:id="836" w:name="_Hlt520343392"/>
      <w:r/>
      <w:bookmarkEnd w:id="836"/>
      <w:r/>
      <w:bookmarkStart w:id="837" w:name="_Hlt520350918"/>
      <w:r/>
      <w:bookmarkEnd w:id="837"/>
      <w:r/>
      <w:bookmarkStart w:id="838" w:name="_Hlt520355504"/>
      <w:r/>
      <w:bookmarkEnd w:id="838"/>
      <w:r/>
      <w:bookmarkStart w:id="839" w:name="_Hlt520343000"/>
      <w:r/>
      <w:bookmarkEnd w:id="839"/>
      <w:r/>
      <w:bookmarkStart w:id="840" w:name="_Hlt520274121"/>
      <w:r/>
      <w:bookmarkEnd w:id="840"/>
      <w:r/>
      <w:bookmarkStart w:id="841" w:name="_Toc226309801"/>
      <w:r/>
      <w:bookmarkStart w:id="842" w:name="_Toc150480795"/>
      <w:r/>
      <w:bookmarkStart w:id="843" w:name="_Toc226337253"/>
      <w:r/>
      <w:bookmarkStart w:id="844" w:name="_Toc520356218"/>
      <w:r/>
      <w:bookmarkStart w:id="845" w:name="_Toc305158825"/>
      <w:r/>
      <w:bookmarkStart w:id="846" w:name="_Toc150774762"/>
      <w:r/>
      <w:bookmarkStart w:id="847" w:name="_Toc305158899"/>
      <w:r/>
      <w:bookmarkStart w:id="848" w:name="_Toc264969247"/>
      <w:r/>
      <w:bookmarkStart w:id="849" w:name="_Toc226965747"/>
      <w:r/>
      <w:bookmarkStart w:id="850" w:name="_Toc195842922"/>
      <w:r/>
      <w:bookmarkStart w:id="851" w:name="_Toc127151557"/>
      <w:r/>
      <w:bookmarkStart w:id="852" w:name="_Toc142311059"/>
      <w:r/>
      <w:bookmarkStart w:id="853" w:name="_Toc265228395"/>
      <w:r/>
      <w:bookmarkStart w:id="854" w:name="_Toc226965830"/>
      <w:r/>
      <w:bookmarkStart w:id="855" w:name="_Toc480942350"/>
      <w:r/>
      <w:bookmarkStart w:id="856" w:name="_Ref467988705"/>
      <w:r>
        <w:rPr>
          <w:rFonts w:ascii="宋体" w:hAnsi="宋体"/>
          <w:color w:val="000000"/>
          <w:sz w:val="24"/>
          <w:szCs w:val="20"/>
          <w:highlight w:val="none"/>
        </w:rPr>
        <w:br w:type="page" w:clear="all"/>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color w:val="000000"/>
          <w:sz w:val="24"/>
          <w:szCs w:val="20"/>
          <w:highlight w:val="none"/>
        </w:rPr>
      </w:r>
      <w:r/>
    </w:p>
    <w:p>
      <w:pPr>
        <w:pStyle w:val="840"/>
        <w:jc w:val="center"/>
        <w:spacing w:line="360" w:lineRule="exact"/>
        <w:rPr>
          <w:rFonts w:ascii="宋体" w:hAnsi="宋体"/>
          <w:b/>
          <w:color w:val="000000"/>
          <w:sz w:val="36"/>
          <w:szCs w:val="36"/>
          <w:highlight w:val="none"/>
        </w:rPr>
      </w:pPr>
      <w:r/>
      <w:bookmarkStart w:id="857" w:name="_Toc226965748"/>
      <w:r/>
      <w:bookmarkStart w:id="858" w:name="_Toc265228396"/>
      <w:r/>
      <w:bookmarkStart w:id="859" w:name="_Toc195842923"/>
      <w:r/>
      <w:bookmarkStart w:id="860" w:name="_Toc164608672"/>
      <w:r/>
      <w:bookmarkStart w:id="861" w:name="_Toc226337254"/>
      <w:r/>
      <w:bookmarkStart w:id="862" w:name="_Toc164608827"/>
      <w:r/>
      <w:bookmarkStart w:id="863" w:name="_Toc226965831"/>
      <w:r/>
      <w:bookmarkStart w:id="864" w:name="_Toc305158900"/>
      <w:r/>
      <w:bookmarkStart w:id="865" w:name="_Toc264969248"/>
      <w:r/>
      <w:bookmarkStart w:id="866" w:name="_Toc305158826"/>
      <w:r/>
      <w:bookmarkStart w:id="867" w:name="_Toc226309802"/>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84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4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840"/>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840"/>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840"/>
              <w:jc w:val="center"/>
              <w:tabs>
                <w:tab w:val="left" w:pos="5580" w:leader="none"/>
              </w:tabs>
              <w:rPr>
                <w:rFonts w:eastAsia="宋体"/>
                <w:b/>
                <w:color w:val="000000"/>
                <w:sz w:val="24"/>
                <w:highlight w:val="none"/>
                <w:lang w:val="en-US" w:eastAsia="zh-CN"/>
              </w:rPr>
            </w:pPr>
            <w:r>
              <w:rPr>
                <w:rFonts w:hint="eastAsia"/>
                <w:b/>
                <w:color w:val="000000"/>
                <w:sz w:val="24"/>
                <w:highlight w:val="none"/>
                <w:lang w:eastAsia="zh-CN"/>
              </w:rPr>
              <w:t xml:space="preserve">投标</w:t>
            </w:r>
            <w:r>
              <w:rPr>
                <w:rFonts w:hint="eastAsia"/>
                <w:b/>
                <w:color w:val="000000"/>
                <w:sz w:val="24"/>
                <w:highlight w:val="none"/>
              </w:rPr>
              <w:t xml:space="preserve">报价</w:t>
            </w:r>
            <w:r>
              <w:rPr>
                <w:rFonts w:hint="eastAsia"/>
                <w:b/>
                <w:color w:val="000000"/>
                <w:sz w:val="24"/>
                <w:highlight w:val="none"/>
                <w:lang w:eastAsia="zh-CN"/>
              </w:rPr>
              <w:t xml:space="preserve">（元</w:t>
            </w:r>
            <w:r>
              <w:rPr>
                <w:rFonts w:hint="eastAsia"/>
                <w:b/>
                <w:color w:val="000000"/>
                <w:sz w:val="24"/>
                <w:highlight w:val="none"/>
                <w:lang w:val="en-US" w:eastAsia="zh-CN"/>
              </w:rPr>
              <w:t xml:space="preserve">/三年）</w:t>
            </w:r>
            <w:r>
              <w:rPr>
                <w:rFonts w:eastAsia="宋体"/>
                <w:b/>
                <w:color w:val="000000"/>
                <w:sz w:val="24"/>
                <w:highlight w:val="none"/>
                <w:lang w:val="en-US" w:eastAsia="zh-CN"/>
              </w:rPr>
            </w:r>
            <w:r/>
          </w:p>
        </w:tc>
      </w:tr>
      <w:tr>
        <w:trPr>
          <w:trHeight w:val="674"/>
        </w:trPr>
        <w:tc>
          <w:tcPr>
            <w:tcW w:w="810" w:type="dxa"/>
            <w:vAlign w:val="center"/>
            <w:vMerge w:val="continue"/>
            <w:textDirection w:val="lrTb"/>
            <w:noWrap w:val="false"/>
          </w:tcPr>
          <w:p>
            <w:pPr>
              <w:pStyle w:val="840"/>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840"/>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840"/>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840"/>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6" w:type="dxa"/>
            <w:vAlign w:val="center"/>
            <w:textDirection w:val="lrTb"/>
            <w:noWrap w:val="false"/>
          </w:tcPr>
          <w:p>
            <w:pPr>
              <w:pStyle w:val="840"/>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840"/>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840"/>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840"/>
              <w:jc w:val="center"/>
              <w:tabs>
                <w:tab w:val="left" w:pos="5580" w:leader="none"/>
              </w:tabs>
              <w:rPr>
                <w:color w:val="000000"/>
                <w:sz w:val="24"/>
                <w:highlight w:val="none"/>
              </w:rPr>
            </w:pPr>
            <w:r>
              <w:rPr>
                <w:color w:val="000000"/>
                <w:sz w:val="24"/>
                <w:highlight w:val="none"/>
              </w:rPr>
            </w:r>
            <w:r/>
          </w:p>
        </w:tc>
      </w:tr>
    </w:tbl>
    <w:p>
      <w:pPr>
        <w:pStyle w:val="840"/>
        <w:jc w:val="left"/>
        <w:rPr>
          <w:rFonts w:ascii="宋体" w:hAnsi="宋体"/>
          <w:color w:val="000000"/>
          <w:sz w:val="24"/>
          <w:highlight w:val="none"/>
        </w:rPr>
      </w:pPr>
      <w:r>
        <w:rPr>
          <w:rFonts w:ascii="宋体" w:hAnsi="宋体"/>
          <w:color w:val="000000"/>
          <w:sz w:val="24"/>
          <w:highlight w:val="none"/>
        </w:rPr>
      </w:r>
      <w:r/>
    </w:p>
    <w:p>
      <w:pPr>
        <w:pStyle w:val="84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84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40"/>
        <w:jc w:val="left"/>
        <w:spacing w:line="312" w:lineRule="auto"/>
        <w:rPr>
          <w:rFonts w:hint="eastAsia" w:ascii="宋体" w:hAnsi="宋体" w:cs="宋体"/>
          <w:bCs/>
          <w:color w:val="000000"/>
          <w:sz w:val="24"/>
          <w:highlight w:val="none"/>
        </w:rPr>
      </w:pPr>
      <w:r/>
      <w:bookmarkStart w:id="868" w:name="_Toc264969249"/>
      <w:r/>
      <w:bookmarkStart w:id="869" w:name="_Toc195842924"/>
      <w:r/>
      <w:bookmarkStart w:id="870" w:name="_Toc127151558"/>
      <w:r/>
      <w:bookmarkStart w:id="871" w:name="_Toc305158827"/>
      <w:r/>
      <w:bookmarkStart w:id="872" w:name="_Toc265228397"/>
      <w:r/>
      <w:bookmarkStart w:id="873" w:name="_Toc226337255"/>
      <w:r/>
      <w:bookmarkStart w:id="874" w:name="_Toc226965832"/>
      <w:r/>
      <w:bookmarkStart w:id="875" w:name="_Toc150480796"/>
      <w:r/>
      <w:bookmarkStart w:id="876" w:name="_Toc142311060"/>
      <w:r/>
      <w:bookmarkStart w:id="877" w:name="_Toc305158901"/>
      <w:r/>
      <w:bookmarkStart w:id="878" w:name="_Toc150774763"/>
      <w:r/>
      <w:bookmarkStart w:id="879" w:name="_Toc226309803"/>
      <w:r/>
      <w:bookmarkStart w:id="880" w:name="_Toc226965749"/>
      <w:r>
        <w:rPr>
          <w:rFonts w:ascii="宋体" w:hAnsi="宋体"/>
          <w:color w:val="000000"/>
          <w:sz w:val="24"/>
          <w:szCs w:val="20"/>
          <w:highlight w:val="none"/>
        </w:rPr>
        <w:br w:type="page" w:clear="all"/>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965835"/>
      <w:r/>
      <w:bookmarkStart w:id="882" w:name="_Toc150480798"/>
      <w:r/>
      <w:bookmarkStart w:id="883" w:name="_Toc226309806"/>
      <w:r/>
      <w:bookmarkStart w:id="884" w:name="_Toc127151562"/>
      <w:r/>
      <w:bookmarkStart w:id="885" w:name="_Toc305158904"/>
      <w:r/>
      <w:bookmarkStart w:id="886" w:name="_Toc305158830"/>
      <w:r/>
      <w:bookmarkStart w:id="887" w:name="_Toc195842927"/>
      <w:r/>
      <w:bookmarkStart w:id="888" w:name="_Toc226337258"/>
      <w:r/>
      <w:bookmarkStart w:id="889" w:name="_Toc265228400"/>
      <w:r/>
      <w:bookmarkStart w:id="890" w:name="_Toc150774765"/>
      <w:r/>
      <w:bookmarkStart w:id="891" w:name="_Toc264969252"/>
      <w:r/>
      <w:bookmarkStart w:id="892" w:name="_Toc142311062"/>
      <w:r/>
      <w:bookmarkStart w:id="893" w:name="_Toc226965752"/>
      <w:r/>
      <w:bookmarkStart w:id="894" w:name="_Toc150774764"/>
      <w:r/>
      <w:bookmarkStart w:id="895" w:name="_Toc226309805"/>
      <w:r/>
      <w:bookmarkStart w:id="896" w:name="_Toc305158903"/>
      <w:r/>
      <w:bookmarkStart w:id="897" w:name="_Toc150480797"/>
      <w:r/>
      <w:bookmarkStart w:id="898" w:name="_Toc226337257"/>
      <w:r/>
      <w:bookmarkStart w:id="899" w:name="_Toc264969251"/>
      <w:r/>
      <w:bookmarkStart w:id="900" w:name="_Toc195842926"/>
      <w:r/>
      <w:bookmarkStart w:id="901" w:name="_Toc142311061"/>
      <w:r/>
      <w:bookmarkStart w:id="902" w:name="_Toc305158829"/>
      <w:r/>
      <w:bookmarkStart w:id="903" w:name="_Toc226965751"/>
      <w:r/>
      <w:bookmarkStart w:id="904" w:name="_Toc127151561"/>
      <w:r/>
      <w:bookmarkStart w:id="905" w:name="_Toc265228399"/>
      <w:r/>
      <w:bookmarkStart w:id="906" w:name="_Toc226965834"/>
      <w:r>
        <w:rPr>
          <w:rFonts w:hint="eastAsia" w:ascii="宋体" w:hAnsi="宋体" w:cs="宋体"/>
          <w:bCs/>
          <w:color w:val="000000"/>
          <w:sz w:val="24"/>
          <w:highlight w:val="none"/>
        </w:rPr>
        <w:t xml:space="preserve">投标分项报价表（实质性格式）</w:t>
      </w:r>
      <w:r>
        <w:rPr>
          <w:rFonts w:hint="eastAsia" w:ascii="宋体" w:hAnsi="宋体" w:cs="宋体"/>
          <w:bCs/>
          <w:color w:val="000000"/>
          <w:sz w:val="24"/>
          <w:highlight w:val="none"/>
        </w:rPr>
      </w:r>
      <w:r/>
    </w:p>
    <w:p>
      <w:pPr>
        <w:pStyle w:val="840"/>
        <w:jc w:val="center"/>
        <w:rPr>
          <w:b/>
          <w:color w:val="000000"/>
          <w:sz w:val="36"/>
          <w:szCs w:val="36"/>
          <w:highlight w:val="none"/>
        </w:rPr>
      </w:pPr>
      <w:r/>
      <w:bookmarkStart w:id="907" w:name="_Toc22479"/>
      <w:r/>
      <w:bookmarkStart w:id="908" w:name="_Toc23177"/>
      <w:r/>
      <w:bookmarkStart w:id="909" w:name="_Toc25130"/>
      <w:r/>
      <w:bookmarkStart w:id="910" w:name="_Toc29062"/>
      <w:r>
        <w:rPr>
          <w:rFonts w:hint="eastAsia"/>
          <w:b/>
          <w:color w:val="000000"/>
          <w:sz w:val="36"/>
          <w:szCs w:val="36"/>
          <w:highlight w:val="none"/>
        </w:rPr>
        <w:t xml:space="preserve">分项报价表</w:t>
      </w:r>
      <w:r>
        <w:rPr>
          <w:b/>
          <w:color w:val="000000"/>
          <w:sz w:val="36"/>
          <w:szCs w:val="36"/>
          <w:highlight w:val="none"/>
        </w:rPr>
      </w:r>
      <w:r/>
    </w:p>
    <w:p>
      <w:pPr>
        <w:pStyle w:val="840"/>
        <w:tabs>
          <w:tab w:val="left" w:pos="1800" w:leader="none"/>
          <w:tab w:val="left" w:pos="5580" w:leader="none"/>
        </w:tabs>
        <w:rPr>
          <w:color w:val="000000"/>
          <w:sz w:val="24"/>
          <w:highlight w:val="none"/>
        </w:rPr>
      </w:pPr>
      <w:r>
        <w:rPr>
          <w:color w:val="000000"/>
          <w:sz w:val="24"/>
          <w:highlight w:val="none"/>
        </w:rPr>
      </w:r>
      <w:r/>
    </w:p>
    <w:p>
      <w:pPr>
        <w:pStyle w:val="840"/>
        <w:tabs>
          <w:tab w:val="left" w:pos="1800" w:leader="none"/>
          <w:tab w:val="left" w:pos="5580" w:leader="none"/>
        </w:tabs>
        <w:rPr>
          <w:color w:val="000000"/>
          <w:sz w:val="24"/>
          <w:highlight w:val="none"/>
        </w:rPr>
      </w:pPr>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840"/>
        <w:tabs>
          <w:tab w:val="left" w:pos="1800" w:leader="none"/>
          <w:tab w:val="left" w:pos="5580" w:leader="none"/>
        </w:tabs>
        <w:rPr>
          <w:color w:val="000000"/>
          <w:sz w:val="24"/>
          <w:highlight w:val="none"/>
        </w:rPr>
      </w:pPr>
      <w:r>
        <w:rPr>
          <w:color w:val="000000"/>
          <w:sz w:val="24"/>
          <w:highlight w:val="none"/>
        </w:rPr>
      </w:r>
      <w:r/>
    </w:p>
    <w:tbl>
      <w:tblPr>
        <w:tblW w:w="56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432"/>
        <w:gridCol w:w="1991"/>
        <w:gridCol w:w="1207"/>
        <w:gridCol w:w="1201"/>
        <w:gridCol w:w="1201"/>
        <w:gridCol w:w="1201"/>
        <w:gridCol w:w="1581"/>
      </w:tblGrid>
      <w:tr>
        <w:trPr>
          <w:trHeight w:val="451"/>
        </w:trPr>
        <w:tc>
          <w:tcPr>
            <w:tcW w:w="299"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lang w:val="en-US" w:eastAsia="zh-CN" w:bidi="ar-SA"/>
              </w:rPr>
            </w:r>
            <w:r/>
          </w:p>
        </w:tc>
        <w:tc>
          <w:tcPr>
            <w:tcW w:w="685"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地点</w:t>
            </w:r>
            <w:r>
              <w:rPr>
                <w:rFonts w:hint="eastAsia" w:ascii="宋体" w:hAnsi="宋体" w:eastAsia="宋体" w:cs="宋体"/>
                <w:b/>
                <w:bCs/>
                <w:color w:val="000000"/>
                <w:sz w:val="21"/>
                <w:szCs w:val="21"/>
                <w:highlight w:val="none"/>
                <w:lang w:val="en-US" w:eastAsia="zh-CN" w:bidi="ar-SA"/>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服务范围</w:t>
            </w:r>
            <w:r>
              <w:rPr>
                <w:rFonts w:hint="eastAsia" w:ascii="宋体" w:hAnsi="宋体" w:eastAsia="宋体" w:cs="宋体"/>
                <w:b/>
                <w:bCs/>
                <w:color w:val="000000"/>
                <w:sz w:val="21"/>
                <w:szCs w:val="21"/>
                <w:highlight w:val="none"/>
                <w:lang w:val="en-US" w:eastAsia="zh-CN" w:bidi="ar-SA"/>
              </w:rPr>
            </w:r>
            <w:r/>
          </w:p>
        </w:tc>
        <w:tc>
          <w:tcPr>
            <w:tcW w:w="577"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服务要求</w:t>
            </w:r>
            <w:r>
              <w:rPr>
                <w:rFonts w:hint="eastAsia" w:ascii="宋体" w:hAnsi="宋体" w:eastAsia="宋体" w:cs="宋体"/>
                <w:b/>
                <w:bCs/>
                <w:color w:val="000000"/>
                <w:sz w:val="21"/>
                <w:szCs w:val="21"/>
                <w:highlight w:val="none"/>
                <w:lang w:eastAsia="zh-CN"/>
              </w:rPr>
            </w:r>
            <w:r/>
          </w:p>
        </w:tc>
        <w:tc>
          <w:tcPr>
            <w:tcW w:w="575" w:type="dxa"/>
            <w:vAlign w:val="center"/>
            <w:textDirection w:val="lrTb"/>
            <w:noWrap w:val="false"/>
          </w:tcPr>
          <w:p>
            <w:pPr>
              <w:pStyle w:val="840"/>
              <w:jc w:val="center"/>
              <w:keepLines w:val="0"/>
              <w:keepNext w:val="0"/>
              <w:pageBreakBefore w:val="0"/>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eastAsia="zh-CN"/>
              </w:rPr>
              <w:t xml:space="preserve">服务时间（月）</w:t>
            </w:r>
            <w:r>
              <w:rPr>
                <w:rFonts w:ascii="宋体" w:hAnsi="宋体" w:cs="宋体"/>
                <w:b/>
                <w:bCs/>
                <w:color w:val="000000"/>
                <w:sz w:val="21"/>
                <w:szCs w:val="21"/>
                <w:highlight w:val="none"/>
                <w:lang w:val="en-US"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服务标准</w:t>
            </w:r>
            <w:r>
              <w:rPr>
                <w:rFonts w:hint="eastAsia" w:ascii="宋体" w:hAnsi="宋体" w:cs="宋体"/>
                <w:b/>
                <w:bCs/>
                <w:color w:val="000000"/>
                <w:sz w:val="21"/>
                <w:szCs w:val="21"/>
                <w:highlight w:val="none"/>
                <w:lang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rPr>
              <w:t xml:space="preserve">人数</w:t>
            </w:r>
            <w:r>
              <w:rPr>
                <w:rFonts w:hint="eastAsia" w:ascii="宋体" w:hAnsi="宋体" w:eastAsia="宋体" w:cs="宋体"/>
                <w:b/>
                <w:bCs/>
                <w:color w:val="000000"/>
                <w:sz w:val="21"/>
                <w:szCs w:val="21"/>
                <w:highlight w:val="none"/>
                <w:lang w:val="en-US" w:eastAsia="zh-CN" w:bidi="ar-SA"/>
              </w:rPr>
            </w:r>
            <w:r/>
          </w:p>
        </w:tc>
        <w:tc>
          <w:tcPr>
            <w:tcW w:w="757"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备注</w:t>
            </w:r>
            <w:r>
              <w:rPr>
                <w:rFonts w:hint="eastAsia" w:ascii="宋体" w:hAnsi="宋体" w:eastAsia="宋体" w:cs="宋体"/>
                <w:b/>
                <w:bCs/>
                <w:color w:val="000000"/>
                <w:sz w:val="21"/>
                <w:szCs w:val="21"/>
                <w:highlight w:val="none"/>
                <w:lang w:eastAsia="zh-CN"/>
              </w:rPr>
            </w:r>
            <w:r/>
          </w:p>
        </w:tc>
      </w:tr>
      <w:tr>
        <w:trPr>
          <w:trHeight w:val="451"/>
        </w:trPr>
        <w:tc>
          <w:tcPr>
            <w:tcW w:w="299"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685"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w:t>
            </w:r>
            <w:r>
              <w:rPr>
                <w:rFonts w:hint="eastAsia" w:ascii="宋体" w:hAnsi="宋体" w:eastAsia="宋体" w:cs="宋体"/>
                <w:b w:val="0"/>
                <w:bCs w:val="0"/>
                <w:color w:val="000000"/>
                <w:sz w:val="21"/>
                <w:szCs w:val="21"/>
                <w:highlight w:val="none"/>
                <w:lang w:eastAsia="zh-CN"/>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现场负责人</w:t>
            </w:r>
            <w:r>
              <w:rPr>
                <w:rFonts w:hint="eastAsia" w:ascii="宋体" w:hAnsi="宋体" w:eastAsia="宋体" w:cs="宋体"/>
                <w:b w:val="0"/>
                <w:bCs w:val="0"/>
                <w:color w:val="000000"/>
                <w:sz w:val="21"/>
                <w:szCs w:val="21"/>
                <w:highlight w:val="none"/>
                <w:lang w:eastAsia="zh-CN"/>
              </w:rPr>
            </w:r>
            <w:r/>
          </w:p>
        </w:tc>
        <w:tc>
          <w:tcPr>
            <w:tcW w:w="577"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eastAsia="zh-CN"/>
              </w:rPr>
            </w:r>
            <w:r/>
          </w:p>
        </w:tc>
        <w:tc>
          <w:tcPr>
            <w:tcW w:w="575"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757"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cs="宋体"/>
                <w:color w:val="000000"/>
                <w:sz w:val="20"/>
                <w:highlight w:val="none"/>
              </w:rPr>
              <w:t xml:space="preserve">包含员工费用和管理人员费用、离职补偿金、保险、管理费、培训费、各类加班费（法定节假日等）、值班费、岗位补贴、高温补贴、员工福利、利润、设备、工具、消耗品、工会费、维护修理、折旧、</w:t>
            </w:r>
            <w:r>
              <w:rPr>
                <w:rFonts w:hint="eastAsia" w:ascii="宋体" w:hAnsi="宋体" w:cs="宋体"/>
                <w:color w:val="000000"/>
                <w:sz w:val="20"/>
                <w:highlight w:val="none"/>
                <w:lang w:eastAsia="zh-CN"/>
              </w:rPr>
              <w:t xml:space="preserve">招标代理费、</w:t>
            </w:r>
            <w:r>
              <w:rPr>
                <w:rFonts w:hint="eastAsia" w:ascii="宋体" w:hAnsi="宋体" w:cs="宋体"/>
                <w:color w:val="000000"/>
                <w:sz w:val="20"/>
                <w:highlight w:val="none"/>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eastAsia="宋体" w:cs="宋体"/>
                <w:b w:val="0"/>
                <w:bCs w:val="0"/>
                <w:color w:val="000000"/>
                <w:sz w:val="21"/>
                <w:szCs w:val="21"/>
                <w:highlight w:val="none"/>
                <w:lang w:val="en-US" w:eastAsia="zh-CN"/>
              </w:rPr>
            </w:r>
            <w:r/>
          </w:p>
        </w:tc>
      </w:tr>
      <w:tr>
        <w:trPr>
          <w:trHeight w:val="451"/>
        </w:trPr>
        <w:tc>
          <w:tcPr>
            <w:tcW w:w="299" w:type="dxa"/>
            <w:vAlign w:val="center"/>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ascii="宋体" w:hAnsi="宋体" w:eastAsia="宋体" w:cs="宋体"/>
                <w:b/>
                <w:bCs/>
                <w:color w:val="000000"/>
                <w:sz w:val="21"/>
                <w:szCs w:val="21"/>
                <w:highlight w:val="none"/>
                <w:lang w:val="en-US" w:eastAsia="zh-CN"/>
              </w:rPr>
            </w:r>
            <w:r/>
          </w:p>
        </w:tc>
        <w:tc>
          <w:tcPr>
            <w:gridSpan w:val="3"/>
            <w:tcW w:w="4630"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日间人员配置</w:t>
            </w:r>
            <w:r>
              <w:rPr>
                <w:rFonts w:hint="eastAsia" w:ascii="宋体" w:hAnsi="宋体" w:eastAsia="宋体" w:cs="宋体"/>
                <w:b/>
                <w:bCs/>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451"/>
        </w:trPr>
        <w:tc>
          <w:tcPr>
            <w:tcW w:w="299"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w:t>
            </w:r>
            <w:r>
              <w:rPr>
                <w:rFonts w:ascii="宋体" w:hAnsi="宋体" w:eastAsia="宋体" w:cs="宋体"/>
                <w:b/>
                <w:bCs/>
                <w:color w:val="000000"/>
                <w:sz w:val="21"/>
                <w:szCs w:val="21"/>
                <w:highlight w:val="none"/>
                <w:lang w:val="en-US" w:eastAsia="zh-CN"/>
              </w:rPr>
            </w:r>
            <w:r/>
          </w:p>
        </w:tc>
        <w:tc>
          <w:tcPr>
            <w:tcW w:w="68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人）</w:t>
            </w: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二村保洁</w:t>
            </w:r>
            <w:r>
              <w:rPr>
                <w:rFonts w:hint="eastAsia" w:ascii="宋体" w:hAnsi="宋体" w:eastAsia="宋体" w:cs="宋体"/>
                <w:color w:val="000000"/>
                <w:sz w:val="21"/>
                <w:szCs w:val="21"/>
                <w:highlight w:val="none"/>
                <w:lang w:val="en-US" w:eastAsia="zh-CN" w:bidi="ar-SA"/>
              </w:rPr>
            </w:r>
            <w:r/>
          </w:p>
        </w:tc>
        <w:tc>
          <w:tcPr>
            <w:tcW w:w="577" w:type="dxa"/>
            <w:vAlign w:val="center"/>
            <w:vMerge w:val="restart"/>
            <w:textDirection w:val="lrTb"/>
            <w:noWrap w:val="false"/>
          </w:tcPr>
          <w:p>
            <w:pPr>
              <w:pStyle w:val="840"/>
              <w:jc w:val="center"/>
              <w:keepLines w:val="0"/>
              <w:keepNext w:val="0"/>
              <w:pageBreakBefore w:val="0"/>
              <w:widowControl w:val="off"/>
              <w:rPr>
                <w:rFonts w:hint="eastAsia" w:ascii="宋体" w:hAnsi="宋体" w:cs="宋体"/>
                <w:color w:val="000000"/>
                <w:sz w:val="20"/>
                <w:highlight w:val="none"/>
              </w:rPr>
            </w:pPr>
            <w:r>
              <w:rPr>
                <w:rFonts w:hint="eastAsia" w:ascii="宋体" w:hAnsi="宋体" w:cs="宋体"/>
                <w:color w:val="000000"/>
                <w:sz w:val="20"/>
                <w:highlight w:val="none"/>
              </w:rPr>
              <w:t xml:space="preserve">详见招标文件“第四章采购需求”</w:t>
            </w:r>
            <w:r>
              <w:rPr>
                <w:rFonts w:hint="eastAsia" w:ascii="宋体" w:hAnsi="宋体" w:cs="宋体"/>
                <w:color w:val="000000"/>
                <w:sz w:val="20"/>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cs="宋体"/>
                <w:color w:val="000000"/>
                <w:sz w:val="20"/>
                <w:highlight w:val="none"/>
              </w:rPr>
              <w:t xml:space="preserve">详见招标文件“第四章采购需求”</w:t>
            </w: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潘家塘保洁</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三村保洁</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河道</w:t>
            </w: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绿化日常管理</w:t>
            </w:r>
            <w:r>
              <w:rPr>
                <w:rFonts w:hint="eastAsia" w:ascii="宋体" w:hAnsi="宋体" w:eastAsia="宋体" w:cs="宋体"/>
                <w:color w:val="000000"/>
                <w:sz w:val="21"/>
                <w:szCs w:val="21"/>
                <w:highlight w:val="none"/>
                <w:lang w:eastAsia="zh-CN"/>
              </w:rPr>
              <w:t xml:space="preserve">（含绿地养护</w:t>
            </w:r>
            <w:r>
              <w:rPr>
                <w:rFonts w:hint="eastAsia" w:ascii="宋体" w:hAnsi="宋体" w:eastAsia="宋体" w:cs="宋体"/>
                <w:color w:val="000000"/>
                <w:sz w:val="21"/>
                <w:szCs w:val="21"/>
                <w:highlight w:val="none"/>
                <w:lang w:val="en-US" w:eastAsia="zh-CN"/>
              </w:rPr>
              <w:t xml:space="preserve">及绿化垃圾清运等</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ascii="宋体" w:hAnsi="宋体" w:eastAsia="宋体" w:cs="宋体"/>
                <w:b/>
                <w:bCs/>
                <w:color w:val="000000"/>
                <w:sz w:val="21"/>
                <w:szCs w:val="21"/>
                <w:highlight w:val="none"/>
                <w:lang w:val="en-US" w:eastAsia="zh-CN"/>
              </w:rPr>
            </w:r>
            <w:r/>
          </w:p>
        </w:tc>
        <w:tc>
          <w:tcPr>
            <w:tcW w:w="68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王家新村</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en-US" w:eastAsia="zh-CN" w:bidi="ar-SA"/>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保洁员</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299"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68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兰翔二村</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299"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299"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楼道保洁</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299"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center"/>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2"/>
        </w:trPr>
        <w:tc>
          <w:tcPr>
            <w:tcW w:w="299" w:type="dxa"/>
            <w:vAlign w:val="center"/>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68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河海工业园</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lang w:val="en-US" w:eastAsia="zh-CN"/>
              </w:rPr>
              <w:t xml:space="preserve">员</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rHeight w:val="459"/>
        </w:trPr>
        <w:tc>
          <w:tcPr>
            <w:tcW w:w="299" w:type="dxa"/>
            <w:vAlign w:val="center"/>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68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燕兴万家塘的公厕</w:t>
            </w:r>
            <w:r>
              <w:rPr>
                <w:rFonts w:hint="eastAsia" w:ascii="宋体" w:hAnsi="宋体" w:eastAsia="宋体" w:cs="宋体"/>
                <w:color w:val="000000"/>
                <w:sz w:val="21"/>
                <w:szCs w:val="21"/>
                <w:highlight w:val="none"/>
              </w:rPr>
            </w:r>
            <w:r/>
          </w:p>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15"/>
        </w:trPr>
        <w:tc>
          <w:tcPr>
            <w:tcW w:w="299" w:type="dxa"/>
            <w:vAlign w:val="center"/>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gridSpan w:val="3"/>
            <w:tcW w:w="4630"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夜间人员配置</w:t>
            </w:r>
            <w:r>
              <w:rPr>
                <w:rFonts w:hint="eastAsia" w:ascii="宋体" w:hAnsi="宋体" w:eastAsia="宋体" w:cs="宋体"/>
                <w:b/>
                <w:bCs/>
                <w:color w:val="000000"/>
                <w:sz w:val="21"/>
                <w:szCs w:val="21"/>
                <w:highlight w:val="none"/>
                <w:lang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361"/>
        </w:trPr>
        <w:tc>
          <w:tcPr>
            <w:tcW w:w="299" w:type="dxa"/>
            <w:vAlign w:val="center"/>
            <w:vMerge w:val="restart"/>
            <w:textDirection w:val="lrTb"/>
            <w:noWrap w:val="false"/>
          </w:tcPr>
          <w:p>
            <w:pPr>
              <w:pStyle w:val="840"/>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W w:w="68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含潘家塘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王家新村、万家塘</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夜间保洁员</w:t>
            </w:r>
            <w:r>
              <w:rPr>
                <w:rFonts w:hint="eastAsia" w:ascii="宋体" w:hAnsi="宋体" w:eastAsia="宋体" w:cs="宋体"/>
                <w:b w:val="0"/>
                <w:bCs w:val="0"/>
                <w:color w:val="000000"/>
                <w:sz w:val="21"/>
                <w:szCs w:val="21"/>
                <w:highlight w:val="none"/>
                <w:lang w:val="en-US" w:eastAsia="zh-CN" w:bidi="ar-SA"/>
              </w:rPr>
            </w:r>
            <w:r/>
          </w:p>
        </w:tc>
        <w:tc>
          <w:tcPr>
            <w:tcW w:w="577"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restart"/>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r>
            <w:r/>
          </w:p>
        </w:tc>
      </w:tr>
      <w:tr>
        <w:trPr>
          <w:trHeight w:val="307"/>
        </w:trPr>
        <w:tc>
          <w:tcPr>
            <w:tcW w:w="299" w:type="dxa"/>
            <w:vAlign w:val="top"/>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top"/>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夜间生活垃圾清运</w:t>
            </w:r>
            <w:r>
              <w:rPr>
                <w:rFonts w:hint="eastAsia" w:ascii="宋体" w:hAnsi="宋体" w:eastAsia="宋体" w:cs="宋体"/>
                <w:b w:val="0"/>
                <w:bCs w:val="0"/>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595"/>
        </w:trPr>
        <w:tc>
          <w:tcPr>
            <w:tcW w:w="299" w:type="dxa"/>
            <w:vAlign w:val="top"/>
            <w:vMerge w:val="continue"/>
            <w:textDirection w:val="lrTb"/>
            <w:noWrap w:val="false"/>
          </w:tcPr>
          <w:p>
            <w:pPr>
              <w:pStyle w:val="840"/>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top"/>
            <w:vMerge w:val="continue"/>
            <w:textDirection w:val="lrTb"/>
            <w:noWrap w:val="false"/>
          </w:tcPr>
          <w:p>
            <w:pPr>
              <w:pStyle w:val="84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夜间冲水工</w:t>
            </w:r>
            <w:r>
              <w:rPr>
                <w:rFonts w:hint="eastAsia" w:ascii="宋体" w:hAnsi="宋体" w:eastAsia="宋体" w:cs="宋体"/>
                <w:b w:val="0"/>
                <w:bCs w:val="0"/>
                <w:color w:val="000000"/>
                <w:sz w:val="21"/>
                <w:szCs w:val="21"/>
                <w:highlight w:val="none"/>
                <w:lang w:val="en-US" w:eastAsia="zh-CN" w:bidi="ar-SA"/>
              </w:rPr>
            </w:r>
            <w:r/>
          </w:p>
        </w:tc>
        <w:tc>
          <w:tcPr>
            <w:tcW w:w="57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361"/>
        </w:trPr>
        <w:tc>
          <w:tcPr>
            <w:tcW w:w="299" w:type="dxa"/>
            <w:vAlign w:val="center"/>
            <w:textDirection w:val="lrTb"/>
            <w:noWrap w:val="false"/>
          </w:tcPr>
          <w:p>
            <w:pPr>
              <w:pStyle w:val="840"/>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r>
            <w:r/>
          </w:p>
        </w:tc>
        <w:tc>
          <w:tcPr>
            <w:tcW w:w="685" w:type="dxa"/>
            <w:vAlign w:val="center"/>
            <w:textDirection w:val="lrTb"/>
            <w:noWrap w:val="false"/>
          </w:tcPr>
          <w:p>
            <w:pPr>
              <w:pStyle w:val="840"/>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不可竞争费</w:t>
            </w:r>
            <w:r>
              <w:rPr>
                <w:rFonts w:hint="eastAsia" w:ascii="宋体" w:hAnsi="宋体" w:eastAsia="宋体" w:cs="宋体"/>
                <w:b/>
                <w:bCs/>
                <w:color w:val="000000"/>
                <w:sz w:val="21"/>
                <w:szCs w:val="21"/>
                <w:highlight w:val="none"/>
                <w:lang w:val="en-US" w:eastAsia="zh-CN"/>
              </w:rPr>
            </w:r>
            <w:r/>
          </w:p>
        </w:tc>
        <w:tc>
          <w:tcPr>
            <w:tcW w:w="953" w:type="dxa"/>
            <w:vAlign w:val="center"/>
            <w:textDirection w:val="lrTb"/>
            <w:noWrap w:val="false"/>
          </w:tcPr>
          <w:p>
            <w:pPr>
              <w:pStyle w:val="840"/>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市、区两级考评中未出现重大失分，且在服务期内帮助街道完成目标任务的考核奖励费用</w:t>
            </w:r>
            <w:r>
              <w:rPr>
                <w:rFonts w:hint="eastAsia"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840"/>
              <w:jc w:val="center"/>
              <w:keepLines w:val="0"/>
              <w:keepNext w:val="0"/>
              <w:pageBreakBefore w:val="0"/>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50000元/年</w:t>
            </w:r>
            <w:r>
              <w:rPr>
                <w:rFonts w:ascii="宋体" w:hAnsi="宋体" w:cs="宋体"/>
                <w:b w:val="0"/>
                <w:bCs w:val="0"/>
                <w:color w:val="000000"/>
                <w:sz w:val="21"/>
                <w:szCs w:val="21"/>
                <w:highlight w:val="none"/>
                <w:lang w:val="en-US" w:eastAsia="zh-CN"/>
              </w:rPr>
            </w:r>
            <w:r/>
          </w:p>
        </w:tc>
        <w:tc>
          <w:tcPr>
            <w:tcW w:w="757" w:type="dxa"/>
            <w:vAlign w:val="center"/>
            <w:vMerge w:val="continue"/>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34"/>
        </w:trPr>
        <w:tc>
          <w:tcPr>
            <w:gridSpan w:val="3"/>
            <w:tcW w:w="4049" w:type="dxa"/>
            <w:vAlign w:val="center"/>
            <w:textDirection w:val="lrTb"/>
            <w:noWrap w:val="false"/>
          </w:tcPr>
          <w:p>
            <w:pPr>
              <w:pStyle w:val="840"/>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每月投标单价（元）</w:t>
            </w:r>
            <w:r>
              <w:rPr>
                <w:rFonts w:hint="eastAsia"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840"/>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tc>
        <w:tc>
          <w:tcPr>
            <w:tcW w:w="757"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34"/>
        </w:trPr>
        <w:tc>
          <w:tcPr>
            <w:gridSpan w:val="3"/>
            <w:tcW w:w="4049" w:type="dxa"/>
            <w:vAlign w:val="center"/>
            <w:textDirection w:val="lrTb"/>
            <w:noWrap w:val="false"/>
          </w:tcPr>
          <w:p>
            <w:pPr>
              <w:pStyle w:val="840"/>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每年投标总价（元）</w:t>
            </w:r>
            <w:r>
              <w:rPr>
                <w:rFonts w:hint="eastAsia"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840"/>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tc>
        <w:tc>
          <w:tcPr>
            <w:tcW w:w="757"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77"/>
        </w:trPr>
        <w:tc>
          <w:tcPr>
            <w:gridSpan w:val="3"/>
            <w:tcW w:w="4049" w:type="dxa"/>
            <w:vAlign w:val="center"/>
            <w:textDirection w:val="lrTb"/>
            <w:noWrap w:val="false"/>
          </w:tcPr>
          <w:p>
            <w:pPr>
              <w:pStyle w:val="840"/>
              <w:jc w:val="center"/>
              <w:keepLines w:val="0"/>
              <w:keepNext w:val="0"/>
              <w:pageBreakBefore w:val="0"/>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三年投标总价（元）</w:t>
            </w:r>
            <w:r>
              <w:rPr>
                <w:rFonts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840"/>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tc>
        <w:tc>
          <w:tcPr>
            <w:tcW w:w="757" w:type="dxa"/>
            <w:vAlign w:val="center"/>
            <w:textDirection w:val="lrTb"/>
            <w:noWrap w:val="false"/>
          </w:tcPr>
          <w:p>
            <w:pPr>
              <w:pStyle w:val="840"/>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bl>
    <w:p>
      <w:pPr>
        <w:pStyle w:val="84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840"/>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840"/>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lang w:eastAsia="zh-CN"/>
        </w:rPr>
        <w:t xml:space="preserve">招标文件</w:t>
      </w:r>
      <w:r>
        <w:rPr>
          <w:color w:val="000000"/>
          <w:sz w:val="24"/>
          <w:highlight w:val="none"/>
        </w:rPr>
        <w:t xml:space="preserve">。</w:t>
      </w:r>
      <w:r>
        <w:rPr>
          <w:color w:val="000000"/>
          <w:sz w:val="24"/>
          <w:highlight w:val="none"/>
        </w:rPr>
      </w:r>
      <w:r/>
    </w:p>
    <w:p>
      <w:pPr>
        <w:pStyle w:val="840"/>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840"/>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840"/>
        <w:ind w:right="1119"/>
        <w:jc w:val="both"/>
        <w:spacing w:before="91" w:line="330" w:lineRule="auto"/>
        <w:rPr>
          <w:rFonts w:hint="eastAsia" w:ascii="宋体" w:hAnsi="宋体" w:eastAsia="宋体" w:cs="宋体"/>
          <w:b/>
          <w:bCs/>
          <w:color w:val="000000"/>
          <w:spacing w:val="-1"/>
          <w:sz w:val="24"/>
          <w:szCs w:val="24"/>
          <w:highlight w:val="none"/>
          <w:lang w:eastAsia="zh-CN"/>
        </w:rPr>
      </w:pPr>
      <w:r>
        <w:rPr>
          <w:rFonts w:hint="eastAsia" w:ascii="宋体" w:hAnsi="宋体" w:eastAsia="宋体" w:cs="宋体"/>
          <w:b/>
          <w:bCs/>
          <w:color w:val="000000"/>
          <w:spacing w:val="-1"/>
          <w:sz w:val="24"/>
          <w:szCs w:val="24"/>
          <w:highlight w:val="none"/>
          <w:lang w:eastAsia="zh-CN"/>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840"/>
        <w:jc w:val="left"/>
        <w:widowControl/>
        <w:rPr>
          <w:rFonts w:hint="eastAsia" w:ascii="宋体" w:hAnsi="宋体"/>
          <w:color w:val="000000"/>
          <w:sz w:val="24"/>
          <w:szCs w:val="20"/>
          <w:highlight w:val="none"/>
        </w:rPr>
      </w:pPr>
      <w:r/>
      <w:bookmarkEnd w:id="907"/>
      <w:r/>
      <w:bookmarkEnd w:id="908"/>
      <w:r/>
      <w:bookmarkEnd w:id="909"/>
      <w:r/>
      <w:bookmarkEnd w:id="910"/>
      <w:r>
        <w:rPr>
          <w:rFonts w:hint="eastAsia" w:ascii="宋体" w:hAnsi="宋体"/>
          <w:color w:val="000000"/>
          <w:sz w:val="24"/>
          <w:szCs w:val="20"/>
          <w:highlight w:val="none"/>
        </w:rPr>
        <w:t xml:space="preserve">6</w:t>
      </w:r>
      <w:r>
        <w:rPr>
          <w:rFonts w:ascii="宋体" w:hAnsi="宋体"/>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ascii="宋体" w:hAnsi="宋体"/>
          <w:color w:val="000000"/>
          <w:sz w:val="24"/>
          <w:szCs w:val="20"/>
          <w:highlight w:val="none"/>
        </w:rPr>
      </w:r>
      <w:r/>
    </w:p>
    <w:p>
      <w:pPr>
        <w:pStyle w:val="84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4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4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4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4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4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4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bl>
    <w:p>
      <w:pPr>
        <w:pStyle w:val="84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4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7</w:t>
      </w:r>
      <w:r>
        <w:rPr>
          <w:rFonts w:ascii="宋体" w:hAnsi="宋体"/>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84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4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4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40"/>
              <w:jc w:val="center"/>
              <w:rPr>
                <w:rFonts w:ascii="宋体" w:hAnsi="宋体"/>
                <w:color w:val="000000"/>
                <w:sz w:val="24"/>
                <w:highlight w:val="none"/>
              </w:rPr>
            </w:pPr>
            <w:r>
              <w:rPr>
                <w:rFonts w:ascii="宋体" w:hAnsi="宋体"/>
                <w:color w:val="000000"/>
                <w:sz w:val="24"/>
                <w:highlight w:val="none"/>
              </w:rPr>
            </w:r>
            <w:r/>
          </w:p>
        </w:tc>
      </w:tr>
    </w:tbl>
    <w:p>
      <w:pPr>
        <w:pStyle w:val="84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4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4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40"/>
        <w:rPr>
          <w:rFonts w:ascii="宋体" w:hAnsi="宋体"/>
          <w:color w:val="000000"/>
          <w:sz w:val="24"/>
          <w:szCs w:val="20"/>
          <w:highlight w:val="none"/>
        </w:rPr>
      </w:pPr>
      <w:r>
        <w:rPr>
          <w:rFonts w:ascii="宋体" w:hAnsi="宋体"/>
          <w:color w:val="000000"/>
          <w:sz w:val="24"/>
          <w:szCs w:val="20"/>
          <w:highlight w:val="none"/>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4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8</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84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4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4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4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4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4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18"/>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4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4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4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40"/>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40"/>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40"/>
        <w:ind w:right="360" w:firstLine="480"/>
        <w:jc w:val="right"/>
        <w:spacing w:line="360" w:lineRule="auto"/>
        <w:rPr>
          <w:color w:val="000000"/>
          <w:sz w:val="24"/>
          <w:highlight w:val="none"/>
        </w:rPr>
      </w:pPr>
      <w:r>
        <w:rPr>
          <w:color w:val="000000"/>
          <w:sz w:val="24"/>
          <w:highlight w:val="none"/>
        </w:rPr>
      </w:r>
      <w:r/>
    </w:p>
    <w:p>
      <w:pPr>
        <w:pStyle w:val="840"/>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4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40"/>
        <w:ind w:right="360" w:firstLine="480"/>
        <w:jc w:val="right"/>
        <w:spacing w:line="360" w:lineRule="auto"/>
        <w:rPr>
          <w:color w:val="000000"/>
          <w:sz w:val="24"/>
          <w:highlight w:val="none"/>
        </w:rPr>
      </w:pPr>
      <w:r>
        <w:rPr>
          <w:color w:val="000000"/>
          <w:sz w:val="24"/>
          <w:highlight w:val="none"/>
        </w:rPr>
      </w:r>
      <w:r/>
    </w:p>
    <w:p>
      <w:pPr>
        <w:pStyle w:val="840"/>
        <w:ind w:right="360" w:firstLine="480"/>
        <w:jc w:val="right"/>
        <w:spacing w:line="360" w:lineRule="auto"/>
        <w:rPr>
          <w:rFonts w:hint="eastAsia"/>
          <w:color w:val="000000"/>
          <w:sz w:val="24"/>
          <w:highlight w:val="none"/>
        </w:rPr>
      </w:pPr>
      <w:r>
        <w:rPr>
          <w:rFonts w:hint="eastAsia"/>
          <w:color w:val="000000"/>
          <w:sz w:val="24"/>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40"/>
        <w:ind w:firstLine="420"/>
        <w:jc w:val="left"/>
        <w:rPr>
          <w:rFonts w:ascii="宋体" w:hAnsi="宋体"/>
          <w:color w:val="000000"/>
          <w:sz w:val="24"/>
          <w:highlight w:val="none"/>
        </w:rPr>
      </w:pPr>
      <w:r>
        <w:rPr>
          <w:rFonts w:ascii="宋体" w:hAnsi="宋体"/>
          <w:color w:val="000000"/>
          <w:sz w:val="24"/>
          <w:highlight w:val="none"/>
        </w:rPr>
      </w:r>
      <w:r/>
    </w:p>
    <w:p>
      <w:pPr>
        <w:pStyle w:val="840"/>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840"/>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84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4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4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4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4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4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4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4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840"/>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840"/>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84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4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4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4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4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4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10  参加本项目人员一览表</w:t>
      </w:r>
      <w:r>
        <w:rPr>
          <w:rFonts w:ascii="宋体" w:hAnsi="宋体"/>
          <w:color w:val="000000"/>
          <w:sz w:val="24"/>
          <w:szCs w:val="20"/>
          <w:highlight w:val="none"/>
        </w:rPr>
      </w:r>
      <w:r/>
    </w:p>
    <w:p>
      <w:pPr>
        <w:pStyle w:val="84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40"/>
        <w:spacing w:line="360" w:lineRule="auto"/>
        <w:rPr>
          <w:rFonts w:ascii="宋体" w:hAnsi="宋体"/>
          <w:color w:val="000000"/>
          <w:sz w:val="22"/>
          <w:highlight w:val="none"/>
        </w:rPr>
      </w:pPr>
      <w:r>
        <w:rPr>
          <w:rFonts w:ascii="宋体" w:hAnsi="宋体"/>
          <w:color w:val="000000"/>
          <w:sz w:val="22"/>
          <w:highlight w:val="none"/>
        </w:rPr>
      </w:r>
      <w:r/>
    </w:p>
    <w:p>
      <w:pPr>
        <w:pStyle w:val="8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4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4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40"/>
        <w:spacing w:line="360" w:lineRule="auto"/>
        <w:rPr>
          <w:rFonts w:ascii="宋体" w:hAnsi="宋体"/>
          <w:color w:val="000000"/>
          <w:sz w:val="24"/>
          <w:highlight w:val="none"/>
        </w:rPr>
      </w:pPr>
      <w:r>
        <w:rPr>
          <w:rFonts w:ascii="宋体" w:hAnsi="宋体"/>
          <w:color w:val="000000"/>
          <w:sz w:val="24"/>
          <w:highlight w:val="none"/>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40"/>
        <w:rPr>
          <w:rFonts w:ascii="宋体" w:hAnsi="宋体"/>
          <w:color w:val="000000"/>
          <w:sz w:val="24"/>
          <w:szCs w:val="20"/>
          <w:highlight w:val="none"/>
        </w:rPr>
      </w:pPr>
      <w:r>
        <w:rPr>
          <w:rFonts w:ascii="宋体" w:hAnsi="宋体"/>
          <w:color w:val="000000"/>
          <w:sz w:val="22"/>
          <w:highlight w:val="none"/>
        </w:rPr>
        <w:br w:type="page" w:clear="all"/>
      </w:r>
      <w:bookmarkStart w:id="911" w:name="_Toc288738839"/>
      <w:r/>
      <w:bookmarkStart w:id="912" w:name="_Toc288738397"/>
      <w:r>
        <w:rPr>
          <w:rFonts w:hint="eastAsia" w:ascii="宋体" w:hAnsi="宋体"/>
          <w:color w:val="000000"/>
          <w:sz w:val="24"/>
          <w:szCs w:val="20"/>
          <w:highlight w:val="none"/>
        </w:rPr>
        <w:t xml:space="preserve">11  相关业绩案例一览表</w:t>
      </w:r>
      <w:r>
        <w:rPr>
          <w:rFonts w:ascii="宋体" w:hAnsi="宋体"/>
          <w:color w:val="000000"/>
          <w:sz w:val="24"/>
          <w:szCs w:val="20"/>
          <w:highlight w:val="none"/>
        </w:rPr>
      </w:r>
      <w:r/>
    </w:p>
    <w:p>
      <w:pPr>
        <w:pStyle w:val="840"/>
        <w:rPr>
          <w:rFonts w:ascii="宋体" w:hAnsi="宋体"/>
          <w:color w:val="000000"/>
          <w:sz w:val="24"/>
          <w:szCs w:val="20"/>
          <w:highlight w:val="none"/>
        </w:rPr>
      </w:pPr>
      <w:r>
        <w:rPr>
          <w:rFonts w:ascii="宋体" w:hAnsi="宋体"/>
          <w:color w:val="000000"/>
          <w:sz w:val="24"/>
          <w:szCs w:val="20"/>
          <w:highlight w:val="none"/>
        </w:rPr>
      </w:r>
      <w:r/>
    </w:p>
    <w:p>
      <w:pPr>
        <w:pStyle w:val="84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1"/>
      <w:r/>
      <w:bookmarkEnd w:id="912"/>
      <w:r>
        <w:rPr>
          <w:rFonts w:ascii="宋体" w:hAnsi="宋体"/>
          <w:b/>
          <w:color w:val="000000"/>
          <w:sz w:val="32"/>
          <w:szCs w:val="32"/>
          <w:highlight w:val="none"/>
        </w:rPr>
      </w:r>
      <w:r/>
    </w:p>
    <w:p>
      <w:pPr>
        <w:pStyle w:val="84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4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40"/>
        <w:spacing w:line="360" w:lineRule="auto"/>
        <w:rPr>
          <w:rFonts w:ascii="宋体" w:hAnsi="宋体" w:cs="宋体"/>
          <w:color w:val="000000"/>
          <w:sz w:val="24"/>
          <w:highlight w:val="none"/>
        </w:rPr>
      </w:pPr>
      <w:r>
        <w:rPr>
          <w:rFonts w:ascii="宋体" w:hAnsi="宋体" w:cs="宋体"/>
          <w:color w:val="000000"/>
          <w:sz w:val="24"/>
          <w:highlight w:val="none"/>
        </w:rPr>
      </w:r>
      <w:r/>
    </w:p>
    <w:p>
      <w:pPr>
        <w:pStyle w:val="84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4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40"/>
        <w:rPr>
          <w:rFonts w:ascii="宋体" w:hAnsi="宋体"/>
          <w:color w:val="000000"/>
          <w:highlight w:val="none"/>
        </w:rPr>
      </w:pPr>
      <w:r>
        <w:rPr>
          <w:rFonts w:ascii="宋体" w:hAnsi="宋体"/>
          <w:color w:val="000000"/>
          <w:highlight w:val="none"/>
        </w:rPr>
      </w:r>
      <w:r/>
    </w:p>
    <w:p>
      <w:pPr>
        <w:pStyle w:val="840"/>
        <w:rPr>
          <w:rFonts w:ascii="宋体" w:hAnsi="宋体"/>
          <w:color w:val="000000"/>
          <w:highlight w:val="none"/>
        </w:rPr>
      </w:pPr>
      <w:r>
        <w:rPr>
          <w:rFonts w:ascii="宋体" w:hAnsi="宋体"/>
          <w:color w:val="000000"/>
          <w:highlight w:val="none"/>
        </w:rPr>
      </w:r>
      <w:r/>
    </w:p>
    <w:p>
      <w:pPr>
        <w:pStyle w:val="840"/>
        <w:rPr>
          <w:rFonts w:ascii="宋体" w:hAnsi="宋体"/>
          <w:color w:val="000000"/>
          <w:highlight w:val="none"/>
        </w:rPr>
      </w:pPr>
      <w:r>
        <w:rPr>
          <w:rFonts w:ascii="宋体" w:hAnsi="宋体"/>
          <w:color w:val="000000"/>
          <w:highlight w:val="none"/>
        </w:rPr>
      </w:r>
      <w:r/>
    </w:p>
    <w:p>
      <w:pPr>
        <w:pStyle w:val="840"/>
        <w:rPr>
          <w:rFonts w:ascii="宋体" w:hAnsi="宋体"/>
          <w:color w:val="000000"/>
          <w:highlight w:val="none"/>
        </w:rPr>
      </w:pPr>
      <w:r>
        <w:rPr>
          <w:rFonts w:ascii="宋体" w:hAnsi="宋体"/>
          <w:color w:val="000000"/>
          <w:highlight w:val="none"/>
        </w:rPr>
      </w:r>
      <w:r/>
    </w:p>
    <w:p>
      <w:pPr>
        <w:pStyle w:val="840"/>
        <w:rPr>
          <w:rFonts w:ascii="宋体" w:hAnsi="宋体"/>
          <w:color w:val="000000"/>
          <w:highlight w:val="none"/>
        </w:rPr>
      </w:pPr>
      <w:r>
        <w:rPr>
          <w:rFonts w:ascii="宋体" w:hAnsi="宋体"/>
          <w:color w:val="00000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840"/>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840"/>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var(--dsw-font-markdown-table)">
    <w:panose1 w:val="020B0503020202020204"/>
  </w:font>
  <w:font w:name="Segoe UI Symbol">
    <w:panose1 w:val="020B0502040204020203"/>
  </w:font>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360"/>
      <w:tabs>
        <w:tab w:val="center" w:pos="4153" w:leader="none"/>
        <w:tab w:val="right" w:pos="8306" w:leader="none"/>
      </w:tabs>
      <w:rPr>
        <w:rStyle w:val="915"/>
      </w:rPr>
      <w:framePr w:wrap="around" w:vAnchor="text" w:hAnchor="margin" w:y="1"/>
    </w:pPr>
    <w:r>
      <w:rPr>
        <w:rStyle w:val="915"/>
      </w:rPr>
    </w:r>
    <w:r/>
  </w:p>
  <w:p>
    <w:pPr>
      <w:pStyle w:val="88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Style w:val="915"/>
      </w:rPr>
      <w:framePr w:wrap="around" w:vAnchor="text" w:hAnchor="margin" w:xAlign="center" w:y="1"/>
    </w:pPr>
    <w:r>
      <w:fldChar w:fldCharType="begin"/>
    </w:r>
    <w:r>
      <w:rPr>
        <w:rStyle w:val="915"/>
      </w:rPr>
      <w:instrText xml:space="preserve">PAGE  </w:instrText>
    </w:r>
    <w:r>
      <w:fldChar w:fldCharType="end"/>
    </w:r>
    <w:r>
      <w:rPr>
        <w:rStyle w:val="915"/>
      </w:rPr>
    </w:r>
    <w:r/>
  </w:p>
  <w:p>
    <w:pPr>
      <w:pStyle w:val="88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Style w:val="915"/>
      </w:rPr>
      <w:framePr w:wrap="around" w:vAnchor="text" w:hAnchor="margin" w:xAlign="right" w:y="1"/>
    </w:pPr>
    <w:r>
      <w:rPr>
        <w:rStyle w:val="915"/>
      </w:rPr>
    </w:r>
    <w:r/>
  </w:p>
  <w:p>
    <w:pPr>
      <w:pStyle w:val="88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4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Style w:val="91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0"/>
                    </w:pPr>
                    <w:r/>
                    <w:r/>
                  </w:p>
                </w:txbxContent>
              </v:textbox>
            </v:shape>
          </w:pict>
        </mc:Fallback>
      </mc:AlternateContent>
    </w:r>
    <w:r>
      <w:rPr>
        <w:rStyle w:val="915"/>
      </w:rPr>
    </w:r>
    <w:r/>
  </w:p>
  <w:p>
    <w:pPr>
      <w:pStyle w:val="888"/>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Style w:val="915"/>
      </w:rPr>
      <w:framePr w:wrap="around" w:vAnchor="text" w:hAnchor="margin" w:xAlign="right" w:y="1"/>
    </w:pPr>
    <w:r>
      <w:rPr>
        <w:rStyle w:val="915"/>
      </w:rPr>
      <w:fldChar w:fldCharType="begin"/>
    </w:r>
    <w:r>
      <w:rPr>
        <w:rStyle w:val="915"/>
      </w:rPr>
      <w:instrText xml:space="preserve">PAGE  </w:instrText>
    </w:r>
    <w:r>
      <w:rPr>
        <w:rStyle w:val="915"/>
      </w:rPr>
      <w:fldChar w:fldCharType="end"/>
    </w:r>
    <w:r>
      <w:rPr>
        <w:rStyle w:val="915"/>
      </w:rPr>
    </w:r>
    <w:r/>
  </w:p>
  <w:p>
    <w:pPr>
      <w:pStyle w:val="888"/>
      <w:ind w:right="360"/>
      <w:tabs>
        <w:tab w:val="center" w:pos="4153" w:leader="none"/>
        <w:tab w:val="right" w:pos="8306" w:leader="none"/>
      </w:tabs>
    </w:pPr>
    <w:r/>
    <w:r/>
  </w:p>
  <w:p>
    <w:pPr>
      <w:pStyle w:val="84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
  </w:p>
  <w:p>
    <w:pPr>
      <w:pStyle w:val="84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1"/>
      <w:isLgl w:val="false"/>
      <w:suff w:val="tab"/>
      <w:lvlText w:val="%1."/>
      <w:lvlJc w:val="left"/>
      <w:pPr>
        <w:pStyle w:val="840"/>
        <w:ind w:left="420" w:hanging="420"/>
      </w:pPr>
    </w:lvl>
    <w:lvl w:ilvl="1">
      <w:start w:val="1"/>
      <w:numFmt w:val="decimal"/>
      <w:isLgl w:val="false"/>
      <w:suff w:val="tab"/>
      <w:lvlText w:val="（%2）"/>
      <w:lvlJc w:val="left"/>
      <w:pPr>
        <w:pStyle w:val="840"/>
        <w:ind w:left="1140" w:hanging="720"/>
        <w:tabs>
          <w:tab w:val="num" w:pos="1140" w:leader="none"/>
        </w:tabs>
      </w:pPr>
      <w:rPr>
        <w:rFonts w:hint="eastAsia"/>
      </w:rPr>
    </w:lvl>
    <w:lvl w:ilvl="2">
      <w:start w:val="1"/>
      <w:numFmt w:val="lowerRoman"/>
      <w:isLgl w:val="false"/>
      <w:suff w:val="tab"/>
      <w:lvlText w:val="%3."/>
      <w:lvlJc w:val="right"/>
      <w:pPr>
        <w:pStyle w:val="840"/>
        <w:ind w:left="1260" w:hanging="420"/>
      </w:pPr>
    </w:lvl>
    <w:lvl w:ilvl="3">
      <w:start w:val="1"/>
      <w:numFmt w:val="decimal"/>
      <w:isLgl w:val="false"/>
      <w:suff w:val="tab"/>
      <w:lvlText w:val="%4."/>
      <w:lvlJc w:val="left"/>
      <w:pPr>
        <w:pStyle w:val="840"/>
        <w:ind w:left="1680" w:hanging="420"/>
      </w:pPr>
    </w:lvl>
    <w:lvl w:ilvl="4">
      <w:start w:val="1"/>
      <w:numFmt w:val="lowerLetter"/>
      <w:isLgl w:val="false"/>
      <w:suff w:val="tab"/>
      <w:lvlText w:val="%5)"/>
      <w:lvlJc w:val="left"/>
      <w:pPr>
        <w:pStyle w:val="840"/>
        <w:ind w:left="2100" w:hanging="420"/>
      </w:pPr>
    </w:lvl>
    <w:lvl w:ilvl="5">
      <w:start w:val="1"/>
      <w:numFmt w:val="lowerRoman"/>
      <w:isLgl w:val="false"/>
      <w:suff w:val="tab"/>
      <w:lvlText w:val="%6."/>
      <w:lvlJc w:val="right"/>
      <w:pPr>
        <w:pStyle w:val="840"/>
        <w:ind w:left="2520" w:hanging="420"/>
      </w:pPr>
    </w:lvl>
    <w:lvl w:ilvl="6">
      <w:start w:val="1"/>
      <w:numFmt w:val="decimal"/>
      <w:isLgl w:val="false"/>
      <w:suff w:val="tab"/>
      <w:lvlText w:val="%7."/>
      <w:lvlJc w:val="left"/>
      <w:pPr>
        <w:pStyle w:val="840"/>
        <w:ind w:left="2940" w:hanging="420"/>
      </w:pPr>
    </w:lvl>
    <w:lvl w:ilvl="7">
      <w:start w:val="1"/>
      <w:numFmt w:val="lowerLetter"/>
      <w:isLgl w:val="false"/>
      <w:suff w:val="tab"/>
      <w:lvlText w:val="%8)"/>
      <w:lvlJc w:val="left"/>
      <w:pPr>
        <w:pStyle w:val="840"/>
        <w:ind w:left="3360" w:hanging="420"/>
      </w:pPr>
    </w:lvl>
    <w:lvl w:ilvl="8">
      <w:start w:val="1"/>
      <w:numFmt w:val="lowerRoman"/>
      <w:isLgl w:val="false"/>
      <w:suff w:val="tab"/>
      <w:lvlText w:val="%9."/>
      <w:lvlJc w:val="right"/>
      <w:pPr>
        <w:pStyle w:val="840"/>
        <w:ind w:left="3780" w:hanging="420"/>
      </w:pPr>
    </w:lvl>
  </w:abstractNum>
  <w:abstractNum w:abstractNumId="1">
    <w:multiLevelType w:val="hybridMultilevel"/>
    <w:lvl w:ilvl="0">
      <w:start w:val="1"/>
      <w:numFmt w:val="lowerLetter"/>
      <w:pStyle w:val="1026"/>
      <w:isLgl w:val="false"/>
      <w:suff w:val="tab"/>
      <w:lvlText w:val="%1)"/>
      <w:lvlJc w:val="left"/>
      <w:pPr>
        <w:pStyle w:val="840"/>
        <w:ind w:left="902" w:hanging="420"/>
      </w:pPr>
      <w:rPr>
        <w:color w:val="000000"/>
      </w:rPr>
    </w:lvl>
    <w:lvl w:ilvl="1">
      <w:start w:val="1"/>
      <w:numFmt w:val="lowerLetter"/>
      <w:isLgl w:val="false"/>
      <w:suff w:val="tab"/>
      <w:lvlText w:val="%2)"/>
      <w:lvlJc w:val="left"/>
      <w:pPr>
        <w:pStyle w:val="840"/>
        <w:ind w:left="1322" w:hanging="420"/>
      </w:pPr>
    </w:lvl>
    <w:lvl w:ilvl="2">
      <w:start w:val="1"/>
      <w:numFmt w:val="lowerRoman"/>
      <w:isLgl w:val="false"/>
      <w:suff w:val="tab"/>
      <w:lvlText w:val="%3."/>
      <w:lvlJc w:val="right"/>
      <w:pPr>
        <w:pStyle w:val="840"/>
        <w:ind w:left="1742" w:hanging="420"/>
      </w:pPr>
    </w:lvl>
    <w:lvl w:ilvl="3">
      <w:start w:val="1"/>
      <w:numFmt w:val="decimal"/>
      <w:isLgl w:val="false"/>
      <w:suff w:val="tab"/>
      <w:lvlText w:val="%4."/>
      <w:lvlJc w:val="left"/>
      <w:pPr>
        <w:pStyle w:val="840"/>
        <w:ind w:left="2162" w:hanging="420"/>
      </w:pPr>
    </w:lvl>
    <w:lvl w:ilvl="4">
      <w:start w:val="1"/>
      <w:numFmt w:val="lowerLetter"/>
      <w:isLgl w:val="false"/>
      <w:suff w:val="tab"/>
      <w:lvlText w:val="%5)"/>
      <w:lvlJc w:val="left"/>
      <w:pPr>
        <w:pStyle w:val="840"/>
        <w:ind w:left="2582" w:hanging="420"/>
      </w:pPr>
    </w:lvl>
    <w:lvl w:ilvl="5">
      <w:start w:val="1"/>
      <w:numFmt w:val="lowerRoman"/>
      <w:isLgl w:val="false"/>
      <w:suff w:val="tab"/>
      <w:lvlText w:val="%6."/>
      <w:lvlJc w:val="right"/>
      <w:pPr>
        <w:pStyle w:val="840"/>
        <w:ind w:left="3002" w:hanging="420"/>
      </w:pPr>
    </w:lvl>
    <w:lvl w:ilvl="6">
      <w:start w:val="1"/>
      <w:numFmt w:val="decimal"/>
      <w:isLgl w:val="false"/>
      <w:suff w:val="tab"/>
      <w:lvlText w:val="%7."/>
      <w:lvlJc w:val="left"/>
      <w:pPr>
        <w:pStyle w:val="840"/>
        <w:ind w:left="3422" w:hanging="420"/>
      </w:pPr>
    </w:lvl>
    <w:lvl w:ilvl="7">
      <w:start w:val="1"/>
      <w:numFmt w:val="lowerLetter"/>
      <w:isLgl w:val="false"/>
      <w:suff w:val="tab"/>
      <w:lvlText w:val="%8)"/>
      <w:lvlJc w:val="left"/>
      <w:pPr>
        <w:pStyle w:val="840"/>
        <w:ind w:left="3842" w:hanging="420"/>
      </w:pPr>
    </w:lvl>
    <w:lvl w:ilvl="8">
      <w:start w:val="1"/>
      <w:numFmt w:val="lowerRoman"/>
      <w:isLgl w:val="false"/>
      <w:suff w:val="tab"/>
      <w:lvlText w:val="%9."/>
      <w:lvlJc w:val="right"/>
      <w:pPr>
        <w:pStyle w:val="840"/>
        <w:ind w:left="4262" w:hanging="420"/>
      </w:pPr>
    </w:lvl>
  </w:abstractNum>
  <w:abstractNum w:abstractNumId="2">
    <w:multiLevelType w:val="hybridMultilevel"/>
    <w:lvl w:ilvl="0">
      <w:start w:val="1"/>
      <w:numFmt w:val="decimal"/>
      <w:pStyle w:val="996"/>
      <w:isLgl w:val="false"/>
      <w:suff w:val="tab"/>
      <w:lvlText w:val="%1."/>
      <w:lvlJc w:val="left"/>
      <w:pPr>
        <w:pStyle w:val="8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5"/>
      <w:isLgl w:val="false"/>
      <w:suff w:val="nothing"/>
      <w:lvlText w:val="%1　"/>
      <w:lvlJc w:val="left"/>
      <w:pPr>
        <w:pStyle w:val="8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0"/>
        <w:ind w:left="-25" w:firstLine="0"/>
      </w:pPr>
      <w:rPr>
        <w:rFonts w:ascii="Times New Roman" w:hAnsi="Times New Roman" w:eastAsia="黑体"/>
        <w:b/>
        <w:i w:val="0"/>
        <w:sz w:val="28"/>
      </w:rPr>
    </w:lvl>
    <w:lvl w:ilvl="3">
      <w:start w:val="1"/>
      <w:numFmt w:val="decimal"/>
      <w:pStyle w:val="981"/>
      <w:isLgl w:val="false"/>
      <w:suff w:val="nothing"/>
      <w:lvlText w:val="%1.%2.%3.%4　"/>
      <w:lvlJc w:val="left"/>
      <w:pPr>
        <w:pStyle w:val="8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0"/>
        <w:ind w:left="-25" w:firstLine="0"/>
      </w:pPr>
      <w:rPr>
        <w:rFonts w:ascii="Times New Roman" w:hAnsi="Times New Roman" w:eastAsia="宋体"/>
        <w:b/>
        <w:i w:val="0"/>
        <w:sz w:val="28"/>
      </w:rPr>
    </w:lvl>
    <w:lvl w:ilvl="6">
      <w:start w:val="1"/>
      <w:numFmt w:val="lowerLetter"/>
      <w:pStyle w:val="1002"/>
      <w:isLgl w:val="false"/>
      <w:suff w:val="tab"/>
      <w:lvlText w:val="%7) "/>
      <w:lvlJc w:val="left"/>
      <w:pPr>
        <w:pStyle w:val="840"/>
        <w:ind w:left="-125" w:firstLine="400"/>
        <w:tabs>
          <w:tab w:val="num" w:pos="635" w:leader="none"/>
        </w:tabs>
      </w:pPr>
      <w:rPr>
        <w:rFonts w:ascii="Times New Roman" w:hAnsi="Times New Roman" w:eastAsia="宋体"/>
        <w:b/>
        <w:i w:val="0"/>
        <w:color w:val="000000"/>
        <w:sz w:val="28"/>
        <w:u w:val="none"/>
      </w:rPr>
    </w:lvl>
    <w:lvl w:ilvl="7">
      <w:start w:val="1"/>
      <w:numFmt w:val="decimal"/>
      <w:pStyle w:val="965"/>
      <w:isLgl w:val="false"/>
      <w:suff w:val="tab"/>
      <w:lvlText w:val="%8) "/>
      <w:lvlJc w:val="left"/>
      <w:pPr>
        <w:pStyle w:val="8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0"/>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840"/>
        <w:ind w:left="768" w:hanging="360"/>
        <w:tabs>
          <w:tab w:val="num" w:pos="768" w:leader="none"/>
        </w:tabs>
      </w:pPr>
      <w:rPr>
        <w:rFonts w:hint="eastAsia"/>
      </w:rPr>
    </w:lvl>
    <w:lvl w:ilvl="1">
      <w:start w:val="1"/>
      <w:numFmt w:val="decimal"/>
      <w:pStyle w:val="983"/>
      <w:isLgl w:val="false"/>
      <w:suff w:val="tab"/>
      <w:lvlText w:val="%2、"/>
      <w:lvlJc w:val="left"/>
      <w:pPr>
        <w:pStyle w:val="840"/>
        <w:ind w:left="1188" w:hanging="360"/>
        <w:tabs>
          <w:tab w:val="num" w:pos="1188" w:leader="none"/>
        </w:tabs>
      </w:pPr>
      <w:rPr>
        <w:rFonts w:hint="eastAsia"/>
      </w:rPr>
    </w:lvl>
    <w:lvl w:ilvl="2">
      <w:start w:val="1"/>
      <w:numFmt w:val="decimal"/>
      <w:isLgl w:val="false"/>
      <w:suff w:val="tab"/>
      <w:lvlText w:val="（%3）"/>
      <w:lvlJc w:val="left"/>
      <w:pPr>
        <w:pStyle w:val="840"/>
        <w:ind w:left="1968" w:hanging="720"/>
        <w:tabs>
          <w:tab w:val="num" w:pos="1968" w:leader="none"/>
        </w:tabs>
      </w:pPr>
      <w:rPr>
        <w:rFonts w:hint="eastAsia"/>
        <w:u w:val="none"/>
      </w:rPr>
    </w:lvl>
    <w:lvl w:ilvl="3">
      <w:start w:val="1"/>
      <w:numFmt w:val="decimal"/>
      <w:isLgl w:val="false"/>
      <w:suff w:val="tab"/>
      <w:lvlText w:val="%4."/>
      <w:lvlJc w:val="left"/>
      <w:pPr>
        <w:pStyle w:val="840"/>
        <w:ind w:left="2088" w:hanging="420"/>
        <w:tabs>
          <w:tab w:val="num" w:pos="2088" w:leader="none"/>
        </w:tabs>
      </w:pPr>
    </w:lvl>
    <w:lvl w:ilvl="4">
      <w:start w:val="1"/>
      <w:numFmt w:val="lowerLetter"/>
      <w:isLgl w:val="false"/>
      <w:suff w:val="tab"/>
      <w:lvlText w:val="%5)"/>
      <w:lvlJc w:val="left"/>
      <w:pPr>
        <w:pStyle w:val="840"/>
        <w:ind w:left="2508" w:hanging="420"/>
        <w:tabs>
          <w:tab w:val="num" w:pos="2508" w:leader="none"/>
        </w:tabs>
      </w:pPr>
    </w:lvl>
    <w:lvl w:ilvl="5">
      <w:start w:val="1"/>
      <w:numFmt w:val="lowerRoman"/>
      <w:isLgl w:val="false"/>
      <w:suff w:val="tab"/>
      <w:lvlText w:val="%6."/>
      <w:lvlJc w:val="right"/>
      <w:pPr>
        <w:pStyle w:val="840"/>
        <w:ind w:left="2928" w:hanging="420"/>
        <w:tabs>
          <w:tab w:val="num" w:pos="2928" w:leader="none"/>
        </w:tabs>
      </w:pPr>
    </w:lvl>
    <w:lvl w:ilvl="6">
      <w:start w:val="1"/>
      <w:numFmt w:val="decimal"/>
      <w:isLgl w:val="false"/>
      <w:suff w:val="tab"/>
      <w:lvlText w:val="%7."/>
      <w:lvlJc w:val="left"/>
      <w:pPr>
        <w:pStyle w:val="840"/>
        <w:ind w:left="3348" w:hanging="420"/>
        <w:tabs>
          <w:tab w:val="num" w:pos="3348" w:leader="none"/>
        </w:tabs>
      </w:pPr>
    </w:lvl>
    <w:lvl w:ilvl="7">
      <w:start w:val="1"/>
      <w:numFmt w:val="lowerLetter"/>
      <w:isLgl w:val="false"/>
      <w:suff w:val="tab"/>
      <w:lvlText w:val="%8)"/>
      <w:lvlJc w:val="left"/>
      <w:pPr>
        <w:pStyle w:val="840"/>
        <w:ind w:left="3768" w:hanging="420"/>
        <w:tabs>
          <w:tab w:val="num" w:pos="3768" w:leader="none"/>
        </w:tabs>
      </w:pPr>
    </w:lvl>
    <w:lvl w:ilvl="8">
      <w:start w:val="1"/>
      <w:numFmt w:val="lowerRoman"/>
      <w:isLgl w:val="false"/>
      <w:suff w:val="tab"/>
      <w:lvlText w:val="%9."/>
      <w:lvlJc w:val="right"/>
      <w:pPr>
        <w:pStyle w:val="840"/>
        <w:ind w:left="4188" w:hanging="420"/>
        <w:tabs>
          <w:tab w:val="num" w:pos="4188" w:leader="none"/>
        </w:tabs>
      </w:pPr>
    </w:lvl>
  </w:abstractNum>
  <w:abstractNum w:abstractNumId="5">
    <w:multiLevelType w:val="hybridMultilevel"/>
    <w:lvl w:ilvl="0">
      <w:start w:val="1"/>
      <w:numFmt w:val="decimal"/>
      <w:pStyle w:val="950"/>
      <w:isLgl w:val="false"/>
      <w:suff w:val="tab"/>
      <w:lvlText w:val="%1)"/>
      <w:lvlJc w:val="left"/>
      <w:pPr>
        <w:pStyle w:val="840"/>
        <w:ind w:left="420" w:hanging="420"/>
      </w:pPr>
    </w:lvl>
    <w:lvl w:ilvl="1">
      <w:start w:val="1"/>
      <w:numFmt w:val="lowerLetter"/>
      <w:isLgl w:val="false"/>
      <w:suff w:val="tab"/>
      <w:lvlText w:val="%2)"/>
      <w:lvlJc w:val="left"/>
      <w:pPr>
        <w:pStyle w:val="840"/>
        <w:ind w:left="840" w:hanging="420"/>
      </w:pPr>
    </w:lvl>
    <w:lvl w:ilvl="2">
      <w:start w:val="1"/>
      <w:numFmt w:val="lowerRoman"/>
      <w:isLgl w:val="false"/>
      <w:suff w:val="tab"/>
      <w:lvlText w:val="%3."/>
      <w:lvlJc w:val="right"/>
      <w:pPr>
        <w:pStyle w:val="840"/>
        <w:ind w:left="1260" w:hanging="420"/>
      </w:pPr>
    </w:lvl>
    <w:lvl w:ilvl="3">
      <w:start w:val="1"/>
      <w:numFmt w:val="decimal"/>
      <w:isLgl w:val="false"/>
      <w:suff w:val="tab"/>
      <w:lvlText w:val="%4."/>
      <w:lvlJc w:val="left"/>
      <w:pPr>
        <w:pStyle w:val="840"/>
        <w:ind w:left="1680" w:hanging="420"/>
      </w:pPr>
    </w:lvl>
    <w:lvl w:ilvl="4">
      <w:start w:val="1"/>
      <w:numFmt w:val="lowerLetter"/>
      <w:isLgl w:val="false"/>
      <w:suff w:val="tab"/>
      <w:lvlText w:val="%5)"/>
      <w:lvlJc w:val="left"/>
      <w:pPr>
        <w:pStyle w:val="840"/>
        <w:ind w:left="2100" w:hanging="420"/>
      </w:pPr>
    </w:lvl>
    <w:lvl w:ilvl="5">
      <w:start w:val="1"/>
      <w:numFmt w:val="lowerRoman"/>
      <w:isLgl w:val="false"/>
      <w:suff w:val="tab"/>
      <w:lvlText w:val="%6."/>
      <w:lvlJc w:val="right"/>
      <w:pPr>
        <w:pStyle w:val="840"/>
        <w:ind w:left="2520" w:hanging="420"/>
      </w:pPr>
    </w:lvl>
    <w:lvl w:ilvl="6">
      <w:start w:val="1"/>
      <w:numFmt w:val="decimal"/>
      <w:isLgl w:val="false"/>
      <w:suff w:val="tab"/>
      <w:lvlText w:val="%7."/>
      <w:lvlJc w:val="left"/>
      <w:pPr>
        <w:pStyle w:val="840"/>
        <w:ind w:left="2940" w:hanging="420"/>
      </w:pPr>
    </w:lvl>
    <w:lvl w:ilvl="7">
      <w:start w:val="1"/>
      <w:numFmt w:val="lowerLetter"/>
      <w:isLgl w:val="false"/>
      <w:suff w:val="tab"/>
      <w:lvlText w:val="%8)"/>
      <w:lvlJc w:val="left"/>
      <w:pPr>
        <w:pStyle w:val="840"/>
        <w:ind w:left="3360" w:hanging="420"/>
      </w:pPr>
    </w:lvl>
    <w:lvl w:ilvl="8">
      <w:start w:val="1"/>
      <w:numFmt w:val="lowerRoman"/>
      <w:isLgl w:val="false"/>
      <w:suff w:val="tab"/>
      <w:lvlText w:val="%9."/>
      <w:lvlJc w:val="right"/>
      <w:pPr>
        <w:pStyle w:val="840"/>
        <w:ind w:left="3780" w:hanging="420"/>
      </w:pPr>
    </w:lvl>
  </w:abstractNum>
  <w:abstractNum w:abstractNumId="6">
    <w:multiLevelType w:val="hybridMultilevel"/>
    <w:lvl w:ilvl="0">
      <w:start w:val="1"/>
      <w:numFmt w:val="decimal"/>
      <w:pStyle w:val="1051"/>
      <w:isLgl w:val="false"/>
      <w:suff w:val="tab"/>
      <w:lvlText w:val="%1"/>
      <w:lvlJc w:val="left"/>
      <w:pPr>
        <w:pStyle w:val="840"/>
        <w:ind w:left="680" w:hanging="680"/>
      </w:pPr>
      <w:rPr>
        <w:rFonts w:hint="eastAsia" w:ascii="宋体" w:hAnsi="宋体" w:eastAsia="宋体"/>
      </w:rPr>
    </w:lvl>
    <w:lvl w:ilvl="1">
      <w:start w:val="1"/>
      <w:numFmt w:val="decimal"/>
      <w:pStyle w:val="1052"/>
      <w:isLgl w:val="false"/>
      <w:suff w:val="tab"/>
      <w:lvlText w:val="%1.%2"/>
      <w:lvlJc w:val="left"/>
      <w:pPr>
        <w:pStyle w:val="840"/>
        <w:ind w:left="851" w:hanging="851"/>
      </w:pPr>
      <w:rPr>
        <w:rFonts w:hint="eastAsia" w:ascii="宋体" w:hAnsi="宋体" w:eastAsia="宋体"/>
        <w:color w:val="000000"/>
      </w:rPr>
    </w:lvl>
    <w:lvl w:ilvl="2">
      <w:start w:val="1"/>
      <w:numFmt w:val="decimal"/>
      <w:pStyle w:val="1053"/>
      <w:isLgl w:val="false"/>
      <w:suff w:val="tab"/>
      <w:lvlText w:val="%1.%2.%3"/>
      <w:lvlJc w:val="left"/>
      <w:pPr>
        <w:pStyle w:val="840"/>
        <w:ind w:left="851" w:hanging="851"/>
      </w:pPr>
      <w:rPr>
        <w:rFonts w:hint="eastAsia"/>
      </w:rPr>
    </w:lvl>
    <w:lvl w:ilvl="3">
      <w:start w:val="1"/>
      <w:numFmt w:val="decimal"/>
      <w:isLgl w:val="false"/>
      <w:suff w:val="tab"/>
      <w:lvlText w:val="%1.%2.%3.%4"/>
      <w:lvlJc w:val="left"/>
      <w:pPr>
        <w:pStyle w:val="840"/>
        <w:ind w:left="680" w:hanging="680"/>
      </w:pPr>
      <w:rPr>
        <w:rFonts w:hint="eastAsia"/>
      </w:rPr>
    </w:lvl>
    <w:lvl w:ilvl="4">
      <w:start w:val="1"/>
      <w:numFmt w:val="decimal"/>
      <w:isLgl w:val="false"/>
      <w:suff w:val="tab"/>
      <w:lvlText w:val="%1.%2.%3.%4.%5"/>
      <w:lvlJc w:val="left"/>
      <w:pPr>
        <w:pStyle w:val="840"/>
        <w:ind w:left="680" w:hanging="680"/>
      </w:pPr>
      <w:rPr>
        <w:rFonts w:hint="eastAsia"/>
      </w:rPr>
    </w:lvl>
    <w:lvl w:ilvl="5">
      <w:start w:val="1"/>
      <w:numFmt w:val="decimal"/>
      <w:isLgl w:val="false"/>
      <w:suff w:val="tab"/>
      <w:lvlText w:val="%1.%2.%3.%4.%5.%6"/>
      <w:lvlJc w:val="left"/>
      <w:pPr>
        <w:pStyle w:val="840"/>
        <w:ind w:left="680" w:hanging="680"/>
      </w:pPr>
      <w:rPr>
        <w:rFonts w:hint="eastAsia"/>
      </w:rPr>
    </w:lvl>
    <w:lvl w:ilvl="6">
      <w:start w:val="1"/>
      <w:numFmt w:val="decimal"/>
      <w:isLgl w:val="false"/>
      <w:suff w:val="tab"/>
      <w:lvlText w:val="%1.%2.%3.%4.%5.%6.%7"/>
      <w:lvlJc w:val="left"/>
      <w:pPr>
        <w:pStyle w:val="840"/>
        <w:ind w:left="680" w:hanging="680"/>
      </w:pPr>
      <w:rPr>
        <w:rFonts w:hint="eastAsia"/>
      </w:rPr>
    </w:lvl>
    <w:lvl w:ilvl="7">
      <w:start w:val="1"/>
      <w:numFmt w:val="decimal"/>
      <w:isLgl w:val="false"/>
      <w:suff w:val="tab"/>
      <w:lvlText w:val="%1.%2.%3.%4.%5.%6.%7.%8"/>
      <w:lvlJc w:val="left"/>
      <w:pPr>
        <w:pStyle w:val="840"/>
        <w:ind w:left="680" w:hanging="680"/>
      </w:pPr>
      <w:rPr>
        <w:rFonts w:hint="eastAsia"/>
      </w:rPr>
    </w:lvl>
    <w:lvl w:ilvl="8">
      <w:start w:val="1"/>
      <w:numFmt w:val="decimal"/>
      <w:isLgl w:val="false"/>
      <w:suff w:val="tab"/>
      <w:lvlText w:val="%1.%2.%3.%4.%5.%6.%7.%8.%9"/>
      <w:lvlJc w:val="left"/>
      <w:pPr>
        <w:pStyle w:val="840"/>
        <w:ind w:left="680" w:hanging="680"/>
      </w:pPr>
      <w:rPr>
        <w:rFonts w:hint="eastAsia"/>
      </w:rPr>
    </w:lvl>
  </w:abstractNum>
  <w:abstractNum w:abstractNumId="7">
    <w:multiLevelType w:val="hybridMultilevel"/>
    <w:lvl w:ilvl="0">
      <w:start w:val="1"/>
      <w:numFmt w:val="decimal"/>
      <w:isLgl w:val="false"/>
      <w:suff w:val="tab"/>
      <w:lvlText w:val="%1"/>
      <w:lvlJc w:val="left"/>
      <w:pPr>
        <w:pStyle w:val="840"/>
        <w:ind w:left="900" w:hanging="900"/>
        <w:tabs>
          <w:tab w:val="num" w:pos="900" w:leader="none"/>
        </w:tabs>
      </w:pPr>
      <w:rPr>
        <w:rFonts w:hint="eastAsia"/>
      </w:rPr>
    </w:lvl>
    <w:lvl w:ilvl="1">
      <w:start w:val="1"/>
      <w:numFmt w:val="decimal"/>
      <w:isLgl w:val="false"/>
      <w:suff w:val="tab"/>
      <w:lvlText w:val="%1.%2"/>
      <w:lvlJc w:val="left"/>
      <w:pPr>
        <w:pStyle w:val="8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0"/>
        <w:ind w:left="1980" w:hanging="900"/>
        <w:tabs>
          <w:tab w:val="num" w:pos="1980" w:leader="none"/>
        </w:tabs>
      </w:pPr>
      <w:rPr>
        <w:rFonts w:hint="eastAsia"/>
      </w:rPr>
    </w:lvl>
    <w:lvl w:ilvl="3">
      <w:start w:val="1"/>
      <w:numFmt w:val="decimal"/>
      <w:isLgl w:val="false"/>
      <w:suff w:val="tab"/>
      <w:lvlText w:val="%1.%2.%3.%4"/>
      <w:lvlJc w:val="left"/>
      <w:pPr>
        <w:pStyle w:val="840"/>
        <w:ind w:left="900" w:hanging="900"/>
        <w:tabs>
          <w:tab w:val="num" w:pos="900" w:leader="none"/>
        </w:tabs>
      </w:pPr>
      <w:rPr>
        <w:rFonts w:hint="eastAsia"/>
      </w:rPr>
    </w:lvl>
    <w:lvl w:ilvl="4">
      <w:start w:val="1"/>
      <w:numFmt w:val="decimal"/>
      <w:isLgl w:val="false"/>
      <w:suff w:val="tab"/>
      <w:lvlText w:val="%1.%2.%3.%4.%5"/>
      <w:lvlJc w:val="left"/>
      <w:pPr>
        <w:pStyle w:val="840"/>
        <w:ind w:left="900" w:hanging="900"/>
        <w:tabs>
          <w:tab w:val="num" w:pos="900" w:leader="none"/>
        </w:tabs>
      </w:pPr>
      <w:rPr>
        <w:rFonts w:hint="eastAsia"/>
      </w:rPr>
    </w:lvl>
    <w:lvl w:ilvl="5">
      <w:start w:val="1"/>
      <w:numFmt w:val="decimal"/>
      <w:isLgl w:val="false"/>
      <w:suff w:val="tab"/>
      <w:lvlText w:val="%1.%2.%3.%4.%5.%6"/>
      <w:lvlJc w:val="left"/>
      <w:pPr>
        <w:pStyle w:val="840"/>
        <w:ind w:left="900" w:hanging="900"/>
        <w:tabs>
          <w:tab w:val="num" w:pos="900" w:leader="none"/>
        </w:tabs>
      </w:pPr>
      <w:rPr>
        <w:rFonts w:hint="eastAsia"/>
      </w:rPr>
    </w:lvl>
    <w:lvl w:ilvl="6">
      <w:start w:val="1"/>
      <w:numFmt w:val="decimal"/>
      <w:isLgl w:val="false"/>
      <w:suff w:val="tab"/>
      <w:lvlText w:val="%1.%2.%3.%4.%5.%6.%7"/>
      <w:lvlJc w:val="left"/>
      <w:pPr>
        <w:pStyle w:val="840"/>
        <w:ind w:left="900" w:hanging="900"/>
        <w:tabs>
          <w:tab w:val="num" w:pos="900" w:leader="none"/>
        </w:tabs>
      </w:pPr>
      <w:rPr>
        <w:rFonts w:hint="eastAsia"/>
      </w:rPr>
    </w:lvl>
    <w:lvl w:ilvl="7">
      <w:start w:val="1"/>
      <w:numFmt w:val="decimal"/>
      <w:isLgl w:val="false"/>
      <w:suff w:val="tab"/>
      <w:lvlText w:val="%1.%2.%3.%4.%5.%6.%7.%8"/>
      <w:lvlJc w:val="left"/>
      <w:pPr>
        <w:pStyle w:val="840"/>
        <w:ind w:left="900" w:hanging="900"/>
        <w:tabs>
          <w:tab w:val="num" w:pos="900" w:leader="none"/>
        </w:tabs>
      </w:pPr>
      <w:rPr>
        <w:rFonts w:hint="eastAsia"/>
      </w:rPr>
    </w:lvl>
    <w:lvl w:ilvl="8">
      <w:start w:val="1"/>
      <w:numFmt w:val="decimal"/>
      <w:isLgl w:val="false"/>
      <w:suff w:val="tab"/>
      <w:lvlText w:val="%1.%2.%3.%4.%5.%6.%7.%8.%9"/>
      <w:lvlJc w:val="left"/>
      <w:pPr>
        <w:pStyle w:val="840"/>
        <w:ind w:left="900" w:hanging="900"/>
        <w:tabs>
          <w:tab w:val="num" w:pos="900" w:leader="none"/>
        </w:tabs>
      </w:pPr>
      <w:rPr>
        <w:rFonts w:hint="eastAsia"/>
      </w:rPr>
    </w:lvl>
  </w:abstractNum>
  <w:abstractNum w:abstractNumId="8">
    <w:multiLevelType w:val="hybridMultilevel"/>
    <w:lvl w:ilvl="0">
      <w:start w:val="1"/>
      <w:numFmt w:val="decimal"/>
      <w:isLgl w:val="false"/>
      <w:suff w:val="nothing"/>
      <w:lvlText w:val="%1、"/>
      <w:lvlJc w:val="left"/>
      <w:pPr>
        <w:pStyle w:val="840"/>
      </w:pPr>
    </w:lvl>
    <w:lvl w:ilvl="1">
      <w:start w:val="1"/>
      <w:numFmt w:val="bullet"/>
      <w:isLgl w:val="false"/>
      <w:suff w:val="tab"/>
      <w:lvlText w:val="o"/>
      <w:lvlJc w:val="left"/>
      <w:pPr>
        <w:pStyle w:val="840"/>
        <w:ind w:left="1440" w:hanging="360"/>
      </w:pPr>
      <w:rPr>
        <w:rFonts w:ascii="Courier New" w:hAnsi="Courier New" w:eastAsia="Courier New" w:cs="Courier New"/>
      </w:rPr>
    </w:lvl>
    <w:lvl w:ilvl="2">
      <w:start w:val="1"/>
      <w:numFmt w:val="bullet"/>
      <w:isLgl w:val="false"/>
      <w:suff w:val="tab"/>
      <w:lvlText w:val="§"/>
      <w:lvlJc w:val="left"/>
      <w:pPr>
        <w:pStyle w:val="840"/>
        <w:ind w:left="2160" w:hanging="360"/>
      </w:pPr>
      <w:rPr>
        <w:rFonts w:ascii="Wingdings" w:hAnsi="Wingdings" w:eastAsia="Wingdings" w:cs="Wingdings"/>
      </w:rPr>
    </w:lvl>
    <w:lvl w:ilvl="3">
      <w:start w:val="1"/>
      <w:numFmt w:val="bullet"/>
      <w:isLgl w:val="false"/>
      <w:suff w:val="tab"/>
      <w:lvlText w:val="·"/>
      <w:lvlJc w:val="left"/>
      <w:pPr>
        <w:pStyle w:val="840"/>
        <w:ind w:left="2880" w:hanging="360"/>
      </w:pPr>
      <w:rPr>
        <w:rFonts w:ascii="Symbol" w:hAnsi="Symbol" w:eastAsia="Symbol" w:cs="Symbol"/>
      </w:rPr>
    </w:lvl>
    <w:lvl w:ilvl="4">
      <w:start w:val="1"/>
      <w:numFmt w:val="bullet"/>
      <w:isLgl w:val="false"/>
      <w:suff w:val="tab"/>
      <w:lvlText w:val="o"/>
      <w:lvlJc w:val="left"/>
      <w:pPr>
        <w:pStyle w:val="840"/>
        <w:ind w:left="3600" w:hanging="360"/>
      </w:pPr>
      <w:rPr>
        <w:rFonts w:ascii="Courier New" w:hAnsi="Courier New" w:eastAsia="Courier New" w:cs="Courier New"/>
      </w:rPr>
    </w:lvl>
    <w:lvl w:ilvl="5">
      <w:start w:val="1"/>
      <w:numFmt w:val="bullet"/>
      <w:isLgl w:val="false"/>
      <w:suff w:val="tab"/>
      <w:lvlText w:val="§"/>
      <w:lvlJc w:val="left"/>
      <w:pPr>
        <w:pStyle w:val="840"/>
        <w:ind w:left="4320" w:hanging="360"/>
      </w:pPr>
      <w:rPr>
        <w:rFonts w:ascii="Wingdings" w:hAnsi="Wingdings" w:eastAsia="Wingdings" w:cs="Wingdings"/>
      </w:rPr>
    </w:lvl>
    <w:lvl w:ilvl="6">
      <w:start w:val="1"/>
      <w:numFmt w:val="bullet"/>
      <w:isLgl w:val="false"/>
      <w:suff w:val="tab"/>
      <w:lvlText w:val="·"/>
      <w:lvlJc w:val="left"/>
      <w:pPr>
        <w:pStyle w:val="840"/>
        <w:ind w:left="5040" w:hanging="360"/>
      </w:pPr>
      <w:rPr>
        <w:rFonts w:ascii="Symbol" w:hAnsi="Symbol" w:eastAsia="Symbol" w:cs="Symbol"/>
      </w:rPr>
    </w:lvl>
    <w:lvl w:ilvl="7">
      <w:start w:val="1"/>
      <w:numFmt w:val="bullet"/>
      <w:isLgl w:val="false"/>
      <w:suff w:val="tab"/>
      <w:lvlText w:val="o"/>
      <w:lvlJc w:val="left"/>
      <w:pPr>
        <w:pStyle w:val="840"/>
        <w:ind w:left="5760" w:hanging="360"/>
      </w:pPr>
      <w:rPr>
        <w:rFonts w:ascii="Courier New" w:hAnsi="Courier New" w:eastAsia="Courier New" w:cs="Courier New"/>
      </w:rPr>
    </w:lvl>
    <w:lvl w:ilvl="8">
      <w:start w:val="1"/>
      <w:numFmt w:val="bullet"/>
      <w:isLgl w:val="false"/>
      <w:suff w:val="tab"/>
      <w:lvlText w:val="§"/>
      <w:lvlJc w:val="left"/>
      <w:pPr>
        <w:pStyle w:val="840"/>
        <w:ind w:left="6480" w:hanging="360"/>
      </w:pPr>
      <w:rPr>
        <w:rFonts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0"/>
    <w:next w:val="8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0"/>
    <w:next w:val="8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0"/>
    <w:next w:val="8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0"/>
    <w:next w:val="8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0"/>
    <w:next w:val="8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0"/>
    <w:next w:val="8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0"/>
    <w:next w:val="8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0"/>
    <w:next w:val="8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0"/>
    <w:next w:val="8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0"/>
    <w:next w:val="8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0"/>
    <w:next w:val="840"/>
    <w:link w:val="38"/>
    <w:uiPriority w:val="29"/>
    <w:qFormat/>
    <w:pPr>
      <w:ind w:left="720" w:right="720"/>
    </w:pPr>
    <w:rPr>
      <w:i/>
    </w:rPr>
  </w:style>
  <w:style w:type="character" w:styleId="38">
    <w:name w:val="Quote Char"/>
    <w:link w:val="37"/>
    <w:uiPriority w:val="29"/>
    <w:rPr>
      <w:i/>
    </w:rPr>
  </w:style>
  <w:style w:type="paragraph" w:styleId="39">
    <w:name w:val="Intense Quote"/>
    <w:basedOn w:val="840"/>
    <w:next w:val="8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0"/>
    <w:next w:val="8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0"/>
    <w:next w:val="840"/>
    <w:uiPriority w:val="39"/>
    <w:unhideWhenUsed/>
    <w:pPr>
      <w:ind w:left="0" w:right="0" w:firstLine="0"/>
      <w:spacing w:after="57"/>
    </w:pPr>
  </w:style>
  <w:style w:type="paragraph" w:styleId="181">
    <w:name w:val="toc 2"/>
    <w:basedOn w:val="840"/>
    <w:next w:val="840"/>
    <w:uiPriority w:val="39"/>
    <w:unhideWhenUsed/>
    <w:pPr>
      <w:ind w:left="283" w:right="0" w:firstLine="0"/>
      <w:spacing w:after="57"/>
    </w:pPr>
  </w:style>
  <w:style w:type="paragraph" w:styleId="182">
    <w:name w:val="toc 3"/>
    <w:basedOn w:val="840"/>
    <w:next w:val="840"/>
    <w:uiPriority w:val="39"/>
    <w:unhideWhenUsed/>
    <w:pPr>
      <w:ind w:left="567" w:right="0" w:firstLine="0"/>
      <w:spacing w:after="57"/>
    </w:pPr>
  </w:style>
  <w:style w:type="paragraph" w:styleId="183">
    <w:name w:val="toc 4"/>
    <w:basedOn w:val="840"/>
    <w:next w:val="840"/>
    <w:uiPriority w:val="39"/>
    <w:unhideWhenUsed/>
    <w:pPr>
      <w:ind w:left="850" w:right="0" w:firstLine="0"/>
      <w:spacing w:after="57"/>
    </w:pPr>
  </w:style>
  <w:style w:type="paragraph" w:styleId="184">
    <w:name w:val="toc 5"/>
    <w:basedOn w:val="840"/>
    <w:next w:val="840"/>
    <w:uiPriority w:val="39"/>
    <w:unhideWhenUsed/>
    <w:pPr>
      <w:ind w:left="1134" w:right="0" w:firstLine="0"/>
      <w:spacing w:after="57"/>
    </w:pPr>
  </w:style>
  <w:style w:type="paragraph" w:styleId="185">
    <w:name w:val="toc 6"/>
    <w:basedOn w:val="840"/>
    <w:next w:val="840"/>
    <w:uiPriority w:val="39"/>
    <w:unhideWhenUsed/>
    <w:pPr>
      <w:ind w:left="1417" w:right="0" w:firstLine="0"/>
      <w:spacing w:after="57"/>
    </w:pPr>
  </w:style>
  <w:style w:type="paragraph" w:styleId="186">
    <w:name w:val="toc 7"/>
    <w:basedOn w:val="840"/>
    <w:next w:val="840"/>
    <w:uiPriority w:val="39"/>
    <w:unhideWhenUsed/>
    <w:pPr>
      <w:ind w:left="1701" w:right="0" w:firstLine="0"/>
      <w:spacing w:after="57"/>
    </w:pPr>
  </w:style>
  <w:style w:type="paragraph" w:styleId="187">
    <w:name w:val="toc 8"/>
    <w:basedOn w:val="840"/>
    <w:next w:val="840"/>
    <w:uiPriority w:val="39"/>
    <w:unhideWhenUsed/>
    <w:pPr>
      <w:ind w:left="1984" w:right="0" w:firstLine="0"/>
      <w:spacing w:after="57"/>
    </w:pPr>
  </w:style>
  <w:style w:type="paragraph" w:styleId="188">
    <w:name w:val="toc 9"/>
    <w:basedOn w:val="840"/>
    <w:next w:val="8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40"/>
    <w:link w:val="840"/>
    <w:qFormat/>
    <w:pPr>
      <w:jc w:val="both"/>
      <w:widowControl w:val="off"/>
    </w:pPr>
    <w:rPr>
      <w:sz w:val="21"/>
      <w:szCs w:val="24"/>
      <w:lang w:val="en-US" w:eastAsia="zh-CN" w:bidi="ar-SA"/>
    </w:rPr>
  </w:style>
  <w:style w:type="paragraph" w:styleId="841">
    <w:name w:val="标题 1"/>
    <w:basedOn w:val="840"/>
    <w:next w:val="840"/>
    <w:link w:val="852"/>
    <w:qFormat/>
    <w:pPr>
      <w:jc w:val="center"/>
      <w:keepLines/>
      <w:keepNext/>
      <w:spacing w:before="240" w:after="120" w:line="300" w:lineRule="auto"/>
      <w:outlineLvl w:val="0"/>
    </w:pPr>
    <w:rPr>
      <w:rFonts w:ascii="宋体"/>
      <w:b/>
      <w:sz w:val="32"/>
      <w:szCs w:val="20"/>
    </w:rPr>
  </w:style>
  <w:style w:type="paragraph" w:styleId="842">
    <w:name w:val="标题 2"/>
    <w:basedOn w:val="840"/>
    <w:next w:val="840"/>
    <w:link w:val="853"/>
    <w:qFormat/>
    <w:pPr>
      <w:jc w:val="center"/>
      <w:keepLines/>
      <w:keepNext/>
      <w:spacing w:before="120" w:line="300" w:lineRule="auto"/>
      <w:outlineLvl w:val="1"/>
    </w:pPr>
    <w:rPr>
      <w:rFonts w:ascii="Arial" w:hAnsi="Arial" w:eastAsia="黑体"/>
      <w:b/>
      <w:sz w:val="30"/>
      <w:szCs w:val="20"/>
    </w:rPr>
  </w:style>
  <w:style w:type="paragraph" w:styleId="843">
    <w:name w:val="标题 3"/>
    <w:basedOn w:val="840"/>
    <w:next w:val="855"/>
    <w:link w:val="854"/>
    <w:qFormat/>
    <w:pPr>
      <w:jc w:val="left"/>
      <w:keepLines/>
      <w:keepNext/>
      <w:spacing w:before="360" w:after="120"/>
      <w:outlineLvl w:val="2"/>
    </w:pPr>
    <w:rPr>
      <w:rFonts w:ascii="宋体"/>
      <w:b/>
      <w:sz w:val="24"/>
      <w:szCs w:val="20"/>
      <w:u w:val="single"/>
    </w:rPr>
  </w:style>
  <w:style w:type="paragraph" w:styleId="844">
    <w:name w:val="标题 4"/>
    <w:basedOn w:val="840"/>
    <w:next w:val="840"/>
    <w:link w:val="857"/>
    <w:qFormat/>
    <w:pPr>
      <w:keepLines/>
      <w:keepNext/>
      <w:spacing w:before="280" w:after="290" w:line="376" w:lineRule="atLeast"/>
      <w:outlineLvl w:val="3"/>
    </w:pPr>
    <w:rPr>
      <w:rFonts w:ascii="Arial" w:hAnsi="Arial" w:eastAsia="黑体"/>
      <w:b/>
      <w:sz w:val="28"/>
      <w:szCs w:val="20"/>
    </w:rPr>
  </w:style>
  <w:style w:type="paragraph" w:styleId="845">
    <w:name w:val="标题 5"/>
    <w:basedOn w:val="840"/>
    <w:next w:val="840"/>
    <w:link w:val="858"/>
    <w:qFormat/>
    <w:pPr>
      <w:keepLines/>
      <w:keepNext/>
      <w:spacing w:before="280" w:after="290" w:line="376" w:lineRule="atLeast"/>
      <w:outlineLvl w:val="4"/>
    </w:pPr>
    <w:rPr>
      <w:b/>
      <w:sz w:val="28"/>
      <w:szCs w:val="20"/>
    </w:rPr>
  </w:style>
  <w:style w:type="paragraph" w:styleId="846">
    <w:name w:val="标题 6"/>
    <w:basedOn w:val="840"/>
    <w:next w:val="840"/>
    <w:link w:val="859"/>
    <w:qFormat/>
    <w:pPr>
      <w:keepLines/>
      <w:keepNext/>
      <w:spacing w:before="240" w:after="64" w:line="320" w:lineRule="atLeast"/>
      <w:outlineLvl w:val="5"/>
    </w:pPr>
    <w:rPr>
      <w:rFonts w:ascii="Arial" w:hAnsi="Arial" w:eastAsia="黑体"/>
      <w:b/>
      <w:sz w:val="24"/>
      <w:szCs w:val="20"/>
    </w:rPr>
  </w:style>
  <w:style w:type="paragraph" w:styleId="847">
    <w:name w:val="标题 7"/>
    <w:basedOn w:val="840"/>
    <w:next w:val="840"/>
    <w:link w:val="860"/>
    <w:qFormat/>
    <w:pPr>
      <w:keepLines/>
      <w:keepNext/>
      <w:spacing w:before="240" w:after="64" w:line="320" w:lineRule="atLeast"/>
      <w:outlineLvl w:val="6"/>
    </w:pPr>
    <w:rPr>
      <w:b/>
      <w:sz w:val="24"/>
      <w:szCs w:val="20"/>
    </w:rPr>
  </w:style>
  <w:style w:type="paragraph" w:styleId="848">
    <w:name w:val="标题 8"/>
    <w:basedOn w:val="840"/>
    <w:next w:val="840"/>
    <w:link w:val="861"/>
    <w:qFormat/>
    <w:pPr>
      <w:keepLines/>
      <w:keepNext/>
      <w:spacing w:before="240" w:after="64" w:line="320" w:lineRule="atLeast"/>
      <w:outlineLvl w:val="7"/>
    </w:pPr>
    <w:rPr>
      <w:rFonts w:ascii="Arial" w:hAnsi="Arial" w:eastAsia="黑体"/>
      <w:sz w:val="24"/>
      <w:szCs w:val="20"/>
    </w:rPr>
  </w:style>
  <w:style w:type="paragraph" w:styleId="849">
    <w:name w:val="标题 9"/>
    <w:basedOn w:val="840"/>
    <w:next w:val="840"/>
    <w:link w:val="862"/>
    <w:qFormat/>
    <w:pPr>
      <w:keepLines/>
      <w:keepNext/>
      <w:spacing w:before="240" w:after="64" w:line="320" w:lineRule="atLeast"/>
      <w:outlineLvl w:val="8"/>
    </w:pPr>
    <w:rPr>
      <w:rFonts w:ascii="Arial" w:hAnsi="Arial" w:eastAsia="黑体"/>
      <w:szCs w:val="20"/>
    </w:rPr>
  </w:style>
  <w:style w:type="character" w:styleId="850">
    <w:name w:val="默认段落字体"/>
    <w:next w:val="850"/>
    <w:link w:val="840"/>
    <w:uiPriority w:val="1"/>
    <w:unhideWhenUsed/>
    <w:qFormat/>
  </w:style>
  <w:style w:type="table" w:styleId="851">
    <w:name w:val="普通表格"/>
    <w:next w:val="851"/>
    <w:link w:val="840"/>
    <w:uiPriority w:val="99"/>
    <w:unhideWhenUsed/>
    <w:qFormat/>
    <w:tblPr/>
  </w:style>
  <w:style w:type="character" w:styleId="852">
    <w:name w:val="标题 1 字符"/>
    <w:next w:val="852"/>
    <w:link w:val="841"/>
    <w:qFormat/>
    <w:rPr>
      <w:rFonts w:ascii="宋体"/>
      <w:b/>
      <w:sz w:val="32"/>
    </w:rPr>
  </w:style>
  <w:style w:type="character" w:styleId="853">
    <w:name w:val="标题 2 字符"/>
    <w:next w:val="853"/>
    <w:link w:val="842"/>
    <w:qFormat/>
    <w:rPr>
      <w:rFonts w:ascii="Arial" w:hAnsi="Arial" w:eastAsia="黑体"/>
      <w:b/>
      <w:sz w:val="30"/>
      <w:lang w:val="en-US" w:eastAsia="zh-CN" w:bidi="ar-SA"/>
    </w:rPr>
  </w:style>
  <w:style w:type="character" w:styleId="854">
    <w:name w:val="标题 3 字符"/>
    <w:next w:val="854"/>
    <w:link w:val="843"/>
    <w:qFormat/>
    <w:rPr>
      <w:rFonts w:ascii="宋体" w:eastAsia="宋体"/>
      <w:b/>
      <w:sz w:val="24"/>
      <w:u w:val="single"/>
      <w:lang w:val="en-US" w:eastAsia="zh-CN" w:bidi="ar-SA"/>
    </w:rPr>
  </w:style>
  <w:style w:type="paragraph" w:styleId="855">
    <w:name w:val="正文缩进"/>
    <w:basedOn w:val="840"/>
    <w:next w:val="855"/>
    <w:link w:val="856"/>
    <w:qFormat/>
    <w:pPr>
      <w:ind w:firstLine="420"/>
      <w:jc w:val="left"/>
    </w:pPr>
    <w:rPr>
      <w:rFonts w:ascii="宋体"/>
      <w:sz w:val="24"/>
    </w:rPr>
  </w:style>
  <w:style w:type="character" w:styleId="856">
    <w:name w:val="正文缩进 字符1"/>
    <w:next w:val="856"/>
    <w:link w:val="855"/>
    <w:qFormat/>
    <w:rPr>
      <w:rFonts w:ascii="宋体" w:eastAsia="宋体"/>
      <w:sz w:val="24"/>
      <w:szCs w:val="24"/>
      <w:lang w:val="en-US" w:eastAsia="zh-CN" w:bidi="ar-SA"/>
    </w:rPr>
  </w:style>
  <w:style w:type="character" w:styleId="857">
    <w:name w:val="标题 4 字符"/>
    <w:next w:val="857"/>
    <w:link w:val="844"/>
    <w:qFormat/>
    <w:rPr>
      <w:rFonts w:ascii="Arial" w:hAnsi="Arial" w:eastAsia="黑体"/>
      <w:b/>
      <w:sz w:val="28"/>
    </w:rPr>
  </w:style>
  <w:style w:type="character" w:styleId="858">
    <w:name w:val="标题 5 字符"/>
    <w:next w:val="858"/>
    <w:link w:val="845"/>
    <w:qFormat/>
    <w:rPr>
      <w:b/>
      <w:sz w:val="28"/>
    </w:rPr>
  </w:style>
  <w:style w:type="character" w:styleId="859">
    <w:name w:val="标题 6 字符"/>
    <w:next w:val="859"/>
    <w:link w:val="846"/>
    <w:qFormat/>
    <w:rPr>
      <w:rFonts w:ascii="Arial" w:hAnsi="Arial" w:eastAsia="黑体"/>
      <w:b/>
      <w:sz w:val="24"/>
    </w:rPr>
  </w:style>
  <w:style w:type="character" w:styleId="860">
    <w:name w:val="标题 7 字符"/>
    <w:next w:val="860"/>
    <w:link w:val="847"/>
    <w:qFormat/>
    <w:rPr>
      <w:b/>
      <w:sz w:val="24"/>
    </w:rPr>
  </w:style>
  <w:style w:type="character" w:styleId="861">
    <w:name w:val="标题 8 字符"/>
    <w:next w:val="861"/>
    <w:link w:val="848"/>
    <w:qFormat/>
    <w:rPr>
      <w:rFonts w:ascii="Arial" w:hAnsi="Arial" w:eastAsia="黑体"/>
      <w:sz w:val="24"/>
    </w:rPr>
  </w:style>
  <w:style w:type="character" w:styleId="862">
    <w:name w:val="标题 9 字符"/>
    <w:next w:val="862"/>
    <w:link w:val="849"/>
    <w:qFormat/>
    <w:rPr>
      <w:rFonts w:ascii="Arial" w:hAnsi="Arial" w:eastAsia="黑体"/>
      <w:sz w:val="21"/>
    </w:rPr>
  </w:style>
  <w:style w:type="paragraph" w:styleId="863">
    <w:name w:val="目录 7"/>
    <w:basedOn w:val="840"/>
    <w:next w:val="840"/>
    <w:link w:val="840"/>
    <w:qFormat/>
    <w:pPr>
      <w:ind w:left="2520"/>
    </w:pPr>
  </w:style>
  <w:style w:type="paragraph" w:styleId="864">
    <w:name w:val="题注"/>
    <w:basedOn w:val="840"/>
    <w:next w:val="840"/>
    <w:link w:val="840"/>
    <w:qFormat/>
    <w:pPr>
      <w:spacing w:line="480" w:lineRule="auto"/>
    </w:pPr>
    <w:rPr>
      <w:rFonts w:ascii="华文中宋" w:hAnsi="华文中宋" w:eastAsia="华文中宋"/>
      <w:sz w:val="36"/>
      <w:szCs w:val="20"/>
    </w:rPr>
  </w:style>
  <w:style w:type="paragraph" w:styleId="865">
    <w:name w:val="文档结构图"/>
    <w:basedOn w:val="840"/>
    <w:next w:val="865"/>
    <w:link w:val="866"/>
    <w:qFormat/>
    <w:pPr>
      <w:shd w:val="clear" w:color="auto" w:fill="000080"/>
    </w:pPr>
  </w:style>
  <w:style w:type="character" w:styleId="866">
    <w:name w:val="文档结构图 字符"/>
    <w:next w:val="866"/>
    <w:link w:val="865"/>
    <w:qFormat/>
    <w:rPr>
      <w:sz w:val="21"/>
      <w:szCs w:val="24"/>
      <w:shd w:val="clear" w:color="auto" w:fill="000080"/>
    </w:rPr>
  </w:style>
  <w:style w:type="paragraph" w:styleId="867">
    <w:name w:val="批注文字"/>
    <w:basedOn w:val="840"/>
    <w:next w:val="867"/>
    <w:link w:val="868"/>
    <w:uiPriority w:val="99"/>
    <w:qFormat/>
    <w:pPr>
      <w:jc w:val="left"/>
    </w:pPr>
  </w:style>
  <w:style w:type="character" w:styleId="868">
    <w:name w:val="批注文字 字符1"/>
    <w:next w:val="868"/>
    <w:link w:val="867"/>
    <w:uiPriority w:val="99"/>
    <w:qFormat/>
    <w:rPr>
      <w:sz w:val="21"/>
      <w:szCs w:val="24"/>
    </w:rPr>
  </w:style>
  <w:style w:type="paragraph" w:styleId="869">
    <w:name w:val="正文文本 3"/>
    <w:basedOn w:val="840"/>
    <w:next w:val="869"/>
    <w:link w:val="870"/>
    <w:qFormat/>
    <w:pPr>
      <w:spacing w:after="120"/>
    </w:pPr>
    <w:rPr>
      <w:sz w:val="16"/>
      <w:szCs w:val="16"/>
    </w:rPr>
  </w:style>
  <w:style w:type="character" w:styleId="870">
    <w:name w:val="正文文本 3 字符"/>
    <w:next w:val="870"/>
    <w:link w:val="869"/>
    <w:qFormat/>
    <w:rPr>
      <w:sz w:val="16"/>
      <w:szCs w:val="16"/>
    </w:rPr>
  </w:style>
  <w:style w:type="paragraph" w:styleId="871">
    <w:name w:val="正文文本"/>
    <w:basedOn w:val="840"/>
    <w:next w:val="871"/>
    <w:link w:val="872"/>
    <w:qFormat/>
    <w:pPr>
      <w:spacing w:before="120" w:line="22" w:lineRule="atLeast"/>
      <w:tabs>
        <w:tab w:val="left" w:pos="567" w:leader="none"/>
      </w:tabs>
    </w:pPr>
    <w:rPr>
      <w:rFonts w:ascii="宋体" w:hAnsi="宋体"/>
      <w:sz w:val="24"/>
    </w:rPr>
  </w:style>
  <w:style w:type="character" w:styleId="872">
    <w:name w:val="正文文本 字符"/>
    <w:next w:val="872"/>
    <w:link w:val="871"/>
    <w:qFormat/>
    <w:rPr>
      <w:rFonts w:ascii="宋体" w:hAnsi="宋体"/>
      <w:sz w:val="24"/>
      <w:szCs w:val="24"/>
    </w:rPr>
  </w:style>
  <w:style w:type="paragraph" w:styleId="873">
    <w:name w:val="正文文本缩进"/>
    <w:basedOn w:val="840"/>
    <w:next w:val="840"/>
    <w:link w:val="874"/>
    <w:qFormat/>
    <w:pPr>
      <w:ind w:firstLine="570"/>
      <w:spacing w:line="360" w:lineRule="auto"/>
    </w:pPr>
    <w:rPr>
      <w:sz w:val="24"/>
    </w:rPr>
  </w:style>
  <w:style w:type="character" w:styleId="874">
    <w:name w:val="正文文本缩进 字符"/>
    <w:next w:val="874"/>
    <w:link w:val="873"/>
    <w:qFormat/>
    <w:rPr>
      <w:rFonts w:eastAsia="宋体"/>
      <w:sz w:val="24"/>
      <w:szCs w:val="24"/>
      <w:lang w:val="en-US" w:eastAsia="zh-CN" w:bidi="ar-SA"/>
    </w:rPr>
  </w:style>
  <w:style w:type="paragraph" w:styleId="875">
    <w:name w:val="列表 2"/>
    <w:basedOn w:val="840"/>
    <w:next w:val="875"/>
    <w:link w:val="840"/>
    <w:qFormat/>
    <w:pPr>
      <w:ind w:left="100" w:hanging="200"/>
    </w:pPr>
  </w:style>
  <w:style w:type="paragraph" w:styleId="876">
    <w:name w:val="文本块"/>
    <w:basedOn w:val="840"/>
    <w:next w:val="876"/>
    <w:link w:val="840"/>
    <w:qFormat/>
    <w:pPr>
      <w:ind w:left="480" w:right="-341" w:firstLine="513"/>
      <w:widowControl/>
    </w:pPr>
    <w:rPr>
      <w:sz w:val="24"/>
      <w:szCs w:val="20"/>
    </w:rPr>
  </w:style>
  <w:style w:type="paragraph" w:styleId="877">
    <w:name w:val="目录 5"/>
    <w:basedOn w:val="840"/>
    <w:next w:val="840"/>
    <w:link w:val="840"/>
    <w:qFormat/>
    <w:pPr>
      <w:ind w:left="1680"/>
    </w:pPr>
  </w:style>
  <w:style w:type="paragraph" w:styleId="878">
    <w:name w:val="目录 3"/>
    <w:basedOn w:val="840"/>
    <w:next w:val="840"/>
    <w:link w:val="840"/>
    <w:uiPriority w:val="39"/>
    <w:qFormat/>
    <w:pPr>
      <w:ind w:left="840"/>
    </w:pPr>
  </w:style>
  <w:style w:type="paragraph" w:styleId="879">
    <w:name w:val="纯文本"/>
    <w:basedOn w:val="840"/>
    <w:next w:val="855"/>
    <w:link w:val="880"/>
    <w:qFormat/>
    <w:rPr>
      <w:rFonts w:hint="eastAsia" w:ascii="宋体" w:hAnsi="Courier New"/>
      <w:szCs w:val="20"/>
    </w:rPr>
  </w:style>
  <w:style w:type="character" w:styleId="880">
    <w:name w:val="纯文本 字符2"/>
    <w:next w:val="880"/>
    <w:link w:val="879"/>
    <w:qFormat/>
    <w:rPr>
      <w:rFonts w:hint="eastAsia" w:ascii="宋体" w:hAnsi="Courier New" w:eastAsia="宋体" w:cs="宋体"/>
      <w:sz w:val="21"/>
    </w:rPr>
  </w:style>
  <w:style w:type="paragraph" w:styleId="881">
    <w:name w:val="目录 8"/>
    <w:basedOn w:val="840"/>
    <w:next w:val="840"/>
    <w:link w:val="840"/>
    <w:qFormat/>
    <w:pPr>
      <w:ind w:left="2940"/>
    </w:pPr>
  </w:style>
  <w:style w:type="paragraph" w:styleId="882">
    <w:name w:val="日期"/>
    <w:basedOn w:val="840"/>
    <w:next w:val="840"/>
    <w:link w:val="883"/>
    <w:qFormat/>
    <w:pPr>
      <w:ind w:left="100"/>
    </w:pPr>
    <w:rPr>
      <w:rFonts w:ascii="仿宋_GB2312" w:hAnsi="宋体" w:eastAsia="仿宋_GB2312"/>
      <w:color w:val="000000"/>
      <w:sz w:val="24"/>
    </w:rPr>
  </w:style>
  <w:style w:type="character" w:styleId="883">
    <w:name w:val="日期 字符"/>
    <w:next w:val="883"/>
    <w:link w:val="882"/>
    <w:qFormat/>
    <w:rPr>
      <w:rFonts w:ascii="仿宋_GB2312" w:hAnsi="宋体" w:eastAsia="仿宋_GB2312"/>
      <w:color w:val="000000"/>
      <w:sz w:val="24"/>
      <w:szCs w:val="24"/>
    </w:rPr>
  </w:style>
  <w:style w:type="paragraph" w:styleId="884">
    <w:name w:val="正文文本缩进 2"/>
    <w:basedOn w:val="840"/>
    <w:next w:val="884"/>
    <w:link w:val="885"/>
    <w:qFormat/>
    <w:pPr>
      <w:ind w:firstLine="480"/>
    </w:pPr>
    <w:rPr>
      <w:rFonts w:ascii="仿宋_GB2312" w:eastAsia="仿宋_GB2312"/>
      <w:sz w:val="24"/>
    </w:rPr>
  </w:style>
  <w:style w:type="character" w:styleId="885">
    <w:name w:val="正文文本缩进 2 字符"/>
    <w:next w:val="885"/>
    <w:link w:val="884"/>
    <w:qFormat/>
    <w:rPr>
      <w:rFonts w:ascii="仿宋_GB2312" w:eastAsia="仿宋_GB2312"/>
      <w:sz w:val="24"/>
      <w:szCs w:val="24"/>
    </w:rPr>
  </w:style>
  <w:style w:type="paragraph" w:styleId="886">
    <w:name w:val="批注框文本"/>
    <w:basedOn w:val="840"/>
    <w:next w:val="886"/>
    <w:link w:val="887"/>
    <w:qFormat/>
    <w:rPr>
      <w:sz w:val="18"/>
      <w:szCs w:val="18"/>
    </w:rPr>
  </w:style>
  <w:style w:type="character" w:styleId="887">
    <w:name w:val="批注框文本 字符"/>
    <w:next w:val="887"/>
    <w:link w:val="886"/>
    <w:qFormat/>
    <w:rPr>
      <w:sz w:val="18"/>
      <w:szCs w:val="18"/>
    </w:rPr>
  </w:style>
  <w:style w:type="paragraph" w:styleId="888">
    <w:name w:val="页脚"/>
    <w:basedOn w:val="840"/>
    <w:next w:val="888"/>
    <w:link w:val="889"/>
    <w:uiPriority w:val="99"/>
    <w:qFormat/>
    <w:pPr>
      <w:jc w:val="left"/>
      <w:tabs>
        <w:tab w:val="center" w:pos="4153" w:leader="none"/>
        <w:tab w:val="right" w:pos="8306" w:leader="none"/>
      </w:tabs>
    </w:pPr>
    <w:rPr>
      <w:rFonts w:ascii="宋体"/>
      <w:sz w:val="18"/>
      <w:szCs w:val="20"/>
    </w:rPr>
  </w:style>
  <w:style w:type="character" w:styleId="889">
    <w:name w:val="页脚 字符"/>
    <w:next w:val="889"/>
    <w:link w:val="888"/>
    <w:uiPriority w:val="99"/>
    <w:qFormat/>
    <w:rPr>
      <w:rFonts w:ascii="宋体" w:eastAsia="宋体"/>
      <w:sz w:val="18"/>
      <w:lang w:val="en-US" w:eastAsia="zh-CN" w:bidi="ar-SA"/>
    </w:rPr>
  </w:style>
  <w:style w:type="paragraph" w:styleId="890">
    <w:name w:val="寄信人地址"/>
    <w:basedOn w:val="840"/>
    <w:next w:val="890"/>
    <w:link w:val="840"/>
    <w:qFormat/>
    <w:pPr>
      <w:jc w:val="both"/>
      <w:widowControl w:val="off"/>
    </w:pPr>
    <w:rPr>
      <w:rFonts w:ascii="Arial" w:hAnsi="Arial" w:eastAsia="宋体" w:cs="Times New Roman"/>
      <w:sz w:val="21"/>
      <w:szCs w:val="24"/>
      <w:lang w:val="en-US" w:eastAsia="zh-CN" w:bidi="ar-SA"/>
    </w:rPr>
  </w:style>
  <w:style w:type="paragraph" w:styleId="891">
    <w:name w:val="页眉"/>
    <w:basedOn w:val="840"/>
    <w:next w:val="891"/>
    <w:link w:val="892"/>
    <w:qFormat/>
    <w:pPr>
      <w:jc w:val="center"/>
      <w:tabs>
        <w:tab w:val="center" w:pos="4153" w:leader="none"/>
        <w:tab w:val="right" w:pos="8306" w:leader="none"/>
      </w:tabs>
      <w:pBdr>
        <w:bottom w:val="single" w:color="000000" w:sz="6" w:space="1"/>
      </w:pBdr>
    </w:pPr>
    <w:rPr>
      <w:sz w:val="18"/>
      <w:szCs w:val="18"/>
    </w:rPr>
  </w:style>
  <w:style w:type="character" w:styleId="892">
    <w:name w:val="页眉 字符"/>
    <w:next w:val="892"/>
    <w:link w:val="891"/>
    <w:qFormat/>
    <w:rPr>
      <w:rFonts w:eastAsia="宋体"/>
      <w:sz w:val="18"/>
      <w:szCs w:val="18"/>
      <w:lang w:val="en-US" w:eastAsia="zh-CN" w:bidi="ar-SA"/>
    </w:rPr>
  </w:style>
  <w:style w:type="paragraph" w:styleId="893">
    <w:name w:val="目录 1"/>
    <w:basedOn w:val="840"/>
    <w:next w:val="840"/>
    <w:link w:val="840"/>
    <w:uiPriority w:val="39"/>
    <w:qFormat/>
    <w:pPr>
      <w:spacing w:line="300" w:lineRule="auto"/>
      <w:tabs>
        <w:tab w:val="left" w:pos="1050" w:leader="none"/>
        <w:tab w:val="right" w:pos="8937" w:leader="dot"/>
      </w:tabs>
    </w:pPr>
    <w:rPr>
      <w:rFonts w:ascii="宋体" w:hAnsi="宋体"/>
      <w:b/>
      <w:sz w:val="24"/>
    </w:rPr>
  </w:style>
  <w:style w:type="paragraph" w:styleId="894">
    <w:name w:val="目录 4"/>
    <w:basedOn w:val="840"/>
    <w:next w:val="840"/>
    <w:link w:val="840"/>
    <w:qFormat/>
    <w:pPr>
      <w:ind w:left="1260"/>
    </w:pPr>
  </w:style>
  <w:style w:type="paragraph" w:styleId="895">
    <w:name w:val="列表"/>
    <w:basedOn w:val="840"/>
    <w:next w:val="895"/>
    <w:link w:val="840"/>
    <w:pPr>
      <w:contextualSpacing/>
      <w:ind w:left="200" w:hanging="200"/>
    </w:pPr>
  </w:style>
  <w:style w:type="paragraph" w:styleId="896">
    <w:name w:val="目录 6"/>
    <w:basedOn w:val="840"/>
    <w:next w:val="840"/>
    <w:link w:val="840"/>
    <w:qFormat/>
    <w:pPr>
      <w:ind w:left="2100"/>
    </w:pPr>
  </w:style>
  <w:style w:type="paragraph" w:styleId="897">
    <w:name w:val="正文文本缩进 3"/>
    <w:basedOn w:val="840"/>
    <w:next w:val="897"/>
    <w:link w:val="898"/>
    <w:qFormat/>
    <w:pPr>
      <w:ind w:left="720" w:firstLine="480"/>
      <w:jc w:val="left"/>
      <w:spacing w:before="120" w:line="22" w:lineRule="atLeast"/>
    </w:pPr>
    <w:rPr>
      <w:rFonts w:ascii="宋体"/>
      <w:sz w:val="24"/>
      <w:szCs w:val="20"/>
    </w:rPr>
  </w:style>
  <w:style w:type="character" w:styleId="898">
    <w:name w:val="正文文本缩进 3 字符"/>
    <w:next w:val="898"/>
    <w:link w:val="897"/>
    <w:qFormat/>
    <w:rPr>
      <w:rFonts w:ascii="宋体"/>
      <w:sz w:val="24"/>
    </w:rPr>
  </w:style>
  <w:style w:type="paragraph" w:styleId="899">
    <w:name w:val="目录 2"/>
    <w:basedOn w:val="840"/>
    <w:next w:val="840"/>
    <w:link w:val="840"/>
    <w:uiPriority w:val="39"/>
    <w:qFormat/>
    <w:pPr>
      <w:ind w:left="420"/>
      <w:spacing w:line="312" w:lineRule="auto"/>
      <w:tabs>
        <w:tab w:val="right" w:pos="8937" w:leader="dot"/>
      </w:tabs>
    </w:pPr>
  </w:style>
  <w:style w:type="paragraph" w:styleId="900">
    <w:name w:val="目录 9"/>
    <w:basedOn w:val="840"/>
    <w:next w:val="840"/>
    <w:link w:val="840"/>
    <w:qFormat/>
    <w:pPr>
      <w:ind w:left="3360"/>
    </w:pPr>
  </w:style>
  <w:style w:type="paragraph" w:styleId="901">
    <w:name w:val="HTML 预设格式"/>
    <w:basedOn w:val="840"/>
    <w:next w:val="901"/>
    <w:link w:val="9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2">
    <w:name w:val="HTML 预设格式 字符"/>
    <w:next w:val="902"/>
    <w:link w:val="901"/>
    <w:qFormat/>
    <w:rPr>
      <w:rFonts w:ascii="宋体" w:hAnsi="宋体" w:cs="宋体"/>
      <w:sz w:val="24"/>
      <w:szCs w:val="24"/>
    </w:rPr>
  </w:style>
  <w:style w:type="paragraph" w:styleId="903">
    <w:name w:val="普通(网站)"/>
    <w:basedOn w:val="840"/>
    <w:next w:val="903"/>
    <w:link w:val="840"/>
    <w:unhideWhenUsed/>
    <w:qFormat/>
    <w:pPr>
      <w:jc w:val="left"/>
      <w:spacing w:before="100" w:beforeAutospacing="1" w:after="100" w:afterAutospacing="1"/>
      <w:widowControl/>
    </w:pPr>
    <w:rPr>
      <w:rFonts w:ascii="宋体" w:hAnsi="宋体" w:cs="宋体"/>
      <w:sz w:val="24"/>
    </w:rPr>
  </w:style>
  <w:style w:type="paragraph" w:styleId="904">
    <w:name w:val="索引 1"/>
    <w:basedOn w:val="840"/>
    <w:next w:val="840"/>
    <w:link w:val="840"/>
    <w:qFormat/>
    <w:rPr>
      <w:szCs w:val="20"/>
    </w:rPr>
  </w:style>
  <w:style w:type="paragraph" w:styleId="905">
    <w:name w:val="标题"/>
    <w:basedOn w:val="840"/>
    <w:next w:val="905"/>
    <w:link w:val="906"/>
    <w:qFormat/>
    <w:pPr>
      <w:jc w:val="center"/>
      <w:outlineLvl w:val="0"/>
    </w:pPr>
    <w:rPr>
      <w:b/>
      <w:sz w:val="32"/>
      <w:szCs w:val="20"/>
    </w:rPr>
  </w:style>
  <w:style w:type="character" w:styleId="906">
    <w:name w:val="标题 字符"/>
    <w:next w:val="906"/>
    <w:link w:val="905"/>
    <w:qFormat/>
    <w:rPr>
      <w:b/>
      <w:sz w:val="32"/>
    </w:rPr>
  </w:style>
  <w:style w:type="paragraph" w:styleId="907">
    <w:name w:val="批注主题"/>
    <w:basedOn w:val="867"/>
    <w:next w:val="867"/>
    <w:link w:val="908"/>
    <w:qFormat/>
    <w:rPr>
      <w:b/>
      <w:bCs/>
    </w:rPr>
  </w:style>
  <w:style w:type="character" w:styleId="908">
    <w:name w:val="批注主题 字符"/>
    <w:next w:val="908"/>
    <w:link w:val="907"/>
    <w:qFormat/>
    <w:rPr>
      <w:rFonts w:ascii="Times New Roman" w:hAnsi="Times New Roman" w:eastAsia="宋体" w:cs="Times New Roman"/>
      <w:b/>
      <w:bCs/>
      <w:sz w:val="21"/>
      <w:szCs w:val="24"/>
      <w:lang w:val="en-US" w:eastAsia="zh-CN" w:bidi="ar-SA"/>
    </w:rPr>
  </w:style>
  <w:style w:type="paragraph" w:styleId="909">
    <w:name w:val="正文首行缩进"/>
    <w:basedOn w:val="871"/>
    <w:next w:val="909"/>
    <w:link w:val="840"/>
    <w:uiPriority w:val="99"/>
    <w:unhideWhenUsed/>
    <w:qFormat/>
    <w:pPr>
      <w:ind w:firstLine="420"/>
      <w:tabs>
        <w:tab w:val="left" w:pos="567" w:leader="none"/>
      </w:tabs>
    </w:pPr>
  </w:style>
  <w:style w:type="paragraph" w:styleId="910">
    <w:name w:val="正文首行缩进 2"/>
    <w:basedOn w:val="840"/>
    <w:next w:val="840"/>
    <w:link w:val="911"/>
    <w:qFormat/>
    <w:pPr>
      <w:ind w:left="420" w:firstLine="420"/>
      <w:spacing w:after="120" w:line="480" w:lineRule="exact"/>
    </w:pPr>
    <w:rPr>
      <w:szCs w:val="20"/>
    </w:rPr>
  </w:style>
  <w:style w:type="character" w:styleId="911">
    <w:name w:val="正文文本首行缩进 2 字符"/>
    <w:next w:val="911"/>
    <w:link w:val="910"/>
    <w:qFormat/>
    <w:rPr>
      <w:rFonts w:eastAsia="宋体"/>
      <w:sz w:val="24"/>
      <w:szCs w:val="24"/>
      <w:lang w:val="en-US" w:eastAsia="zh-CN" w:bidi="ar-SA"/>
    </w:rPr>
  </w:style>
  <w:style w:type="table" w:styleId="912">
    <w:name w:val="网格型"/>
    <w:basedOn w:val="851"/>
    <w:next w:val="912"/>
    <w:link w:val="840"/>
    <w:uiPriority w:val="39"/>
    <w:qFormat/>
    <w:tblPr/>
  </w:style>
  <w:style w:type="table" w:styleId="913">
    <w:name w:val="中等深浅网格 1 - 强调文字颜色 2"/>
    <w:basedOn w:val="851"/>
    <w:next w:val="913"/>
    <w:link w:val="840"/>
    <w:qFormat/>
    <w:rPr>
      <w:sz w:val="21"/>
      <w:szCs w:val="24"/>
    </w:rPr>
    <w:tblPr/>
  </w:style>
  <w:style w:type="character" w:styleId="914">
    <w:name w:val="要点"/>
    <w:next w:val="914"/>
    <w:link w:val="840"/>
    <w:uiPriority w:val="22"/>
    <w:qFormat/>
    <w:rPr>
      <w:b/>
      <w:bCs/>
    </w:rPr>
  </w:style>
  <w:style w:type="character" w:styleId="915">
    <w:name w:val="页码"/>
    <w:next w:val="915"/>
    <w:link w:val="840"/>
    <w:qFormat/>
  </w:style>
  <w:style w:type="character" w:styleId="916">
    <w:name w:val="已访问的超链接"/>
    <w:next w:val="916"/>
    <w:link w:val="840"/>
    <w:qFormat/>
    <w:rPr>
      <w:color w:val="800080"/>
      <w:u w:val="single"/>
    </w:rPr>
  </w:style>
  <w:style w:type="character" w:styleId="917">
    <w:name w:val="强调"/>
    <w:basedOn w:val="850"/>
    <w:next w:val="917"/>
    <w:link w:val="840"/>
    <w:uiPriority w:val="20"/>
    <w:qFormat/>
    <w:rPr>
      <w:color w:val="cc0033"/>
    </w:rPr>
  </w:style>
  <w:style w:type="character" w:styleId="918">
    <w:name w:val="超链接"/>
    <w:next w:val="918"/>
    <w:link w:val="840"/>
    <w:uiPriority w:val="99"/>
    <w:qFormat/>
    <w:rPr>
      <w:color w:val="0000ff"/>
      <w:u w:val="single"/>
    </w:rPr>
  </w:style>
  <w:style w:type="character" w:styleId="919">
    <w:name w:val="批注引用"/>
    <w:next w:val="919"/>
    <w:link w:val="840"/>
    <w:uiPriority w:val="99"/>
    <w:qFormat/>
    <w:rPr>
      <w:sz w:val="21"/>
      <w:szCs w:val="21"/>
    </w:rPr>
  </w:style>
  <w:style w:type="character" w:styleId="920">
    <w:name w:val="HTML 引文"/>
    <w:next w:val="920"/>
    <w:link w:val="840"/>
    <w:qFormat/>
    <w:rPr>
      <w:i/>
      <w:iCs/>
    </w:rPr>
  </w:style>
  <w:style w:type="character" w:styleId="921">
    <w:name w:val="批注文字 字符"/>
    <w:next w:val="921"/>
    <w:link w:val="840"/>
    <w:uiPriority w:val="99"/>
    <w:qFormat/>
    <w:rPr>
      <w:rFonts w:ascii="Times New Roman" w:hAnsi="Times New Roman" w:eastAsia="宋体" w:cs="Times New Roman"/>
      <w:sz w:val="24"/>
      <w:lang w:val="en-US" w:eastAsia="zh-CN" w:bidi="ar-SA"/>
    </w:rPr>
  </w:style>
  <w:style w:type="character" w:styleId="922">
    <w:name w:val="c21"/>
    <w:next w:val="922"/>
    <w:link w:val="840"/>
    <w:qFormat/>
    <w:rPr>
      <w:rFonts w:ascii="ˎ̥" w:hAnsi="ˎ̥"/>
      <w:color w:val="000000"/>
      <w:sz w:val="20"/>
      <w:szCs w:val="20"/>
      <w:u w:val="none"/>
    </w:rPr>
  </w:style>
  <w:style w:type="character" w:styleId="923">
    <w:name w:val="title4"/>
    <w:next w:val="923"/>
    <w:link w:val="840"/>
    <w:qFormat/>
    <w:rPr>
      <w:b/>
      <w:bCs/>
      <w:color w:val="1d87b3"/>
      <w:sz w:val="15"/>
      <w:szCs w:val="15"/>
    </w:rPr>
  </w:style>
  <w:style w:type="character" w:styleId="924">
    <w:name w:val="标题 2 Char Char"/>
    <w:next w:val="924"/>
    <w:link w:val="840"/>
    <w:qFormat/>
    <w:rPr>
      <w:rFonts w:ascii="Arial" w:hAnsi="Arial" w:eastAsia="黑体"/>
      <w:b/>
      <w:bCs/>
      <w:sz w:val="32"/>
      <w:szCs w:val="32"/>
      <w:lang w:val="en-US" w:eastAsia="zh-CN" w:bidi="ar-SA"/>
    </w:rPr>
  </w:style>
  <w:style w:type="character" w:styleId="925">
    <w:name w:val="black1"/>
    <w:next w:val="925"/>
    <w:link w:val="840"/>
    <w:qFormat/>
    <w:rPr>
      <w:color w:val="000000"/>
    </w:rPr>
  </w:style>
  <w:style w:type="character" w:styleId="926">
    <w:name w:val="street-address"/>
    <w:next w:val="926"/>
    <w:link w:val="840"/>
    <w:qFormat/>
  </w:style>
  <w:style w:type="character" w:styleId="927">
    <w:name w:val="locality"/>
    <w:next w:val="927"/>
    <w:link w:val="840"/>
    <w:qFormat/>
  </w:style>
  <w:style w:type="character" w:styleId="928">
    <w:name w:val="正文文本缩进 Char1"/>
    <w:next w:val="928"/>
    <w:link w:val="929"/>
    <w:qFormat/>
    <w:rPr>
      <w:rFonts w:ascii="宋体" w:hAnsi="宋体" w:eastAsia="宋体"/>
      <w:sz w:val="24"/>
      <w:szCs w:val="24"/>
      <w:lang w:bidi="ar-SA"/>
    </w:rPr>
  </w:style>
  <w:style w:type="paragraph" w:styleId="929">
    <w:name w:val="正文文本缩进1"/>
    <w:basedOn w:val="840"/>
    <w:next w:val="929"/>
    <w:link w:val="928"/>
    <w:qFormat/>
    <w:pPr>
      <w:ind w:firstLine="480"/>
      <w:spacing w:line="480" w:lineRule="exact"/>
    </w:pPr>
    <w:rPr>
      <w:rFonts w:ascii="宋体" w:hAnsi="宋体"/>
      <w:sz w:val="24"/>
    </w:rPr>
  </w:style>
  <w:style w:type="character" w:styleId="930">
    <w:name w:val="Char Char11"/>
    <w:next w:val="930"/>
    <w:link w:val="840"/>
    <w:qFormat/>
    <w:rPr>
      <w:rFonts w:ascii="宋体" w:eastAsia="宋体"/>
      <w:b/>
      <w:sz w:val="24"/>
      <w:u w:val="single"/>
      <w:lang w:val="en-US" w:eastAsia="zh-CN" w:bidi="ar-SA"/>
    </w:rPr>
  </w:style>
  <w:style w:type="character" w:styleId="931">
    <w:name w:val="txt"/>
    <w:next w:val="931"/>
    <w:link w:val="840"/>
    <w:qFormat/>
  </w:style>
  <w:style w:type="character" w:styleId="932">
    <w:name w:val="正文缩进 Char Char"/>
    <w:next w:val="932"/>
    <w:link w:val="933"/>
    <w:qFormat/>
    <w:rPr>
      <w:rFonts w:ascii="宋体" w:eastAsia="宋体"/>
      <w:color w:val="000000"/>
      <w:sz w:val="28"/>
      <w:lang w:bidi="ar-SA"/>
    </w:rPr>
  </w:style>
  <w:style w:type="paragraph" w:styleId="933">
    <w:name w:val="正文缩进1"/>
    <w:basedOn w:val="840"/>
    <w:next w:val="933"/>
    <w:link w:val="932"/>
    <w:qFormat/>
    <w:pPr>
      <w:ind w:firstLine="567"/>
      <w:spacing w:line="480" w:lineRule="exact"/>
      <w:widowControl/>
    </w:pPr>
    <w:rPr>
      <w:rFonts w:ascii="宋体"/>
      <w:color w:val="000000"/>
      <w:sz w:val="28"/>
      <w:szCs w:val="20"/>
    </w:rPr>
  </w:style>
  <w:style w:type="character" w:styleId="934">
    <w:name w:val="普通文字1 Char1"/>
    <w:next w:val="934"/>
    <w:link w:val="840"/>
    <w:qFormat/>
    <w:rPr>
      <w:rFonts w:ascii="宋体" w:hAnsi="Courier New" w:eastAsia="宋体"/>
      <w:sz w:val="21"/>
      <w:lang w:val="en-US" w:eastAsia="zh-CN" w:bidi="ar-SA"/>
    </w:rPr>
  </w:style>
  <w:style w:type="character" w:styleId="935">
    <w:name w:val="chanpin1"/>
    <w:next w:val="935"/>
    <w:link w:val="840"/>
    <w:qFormat/>
    <w:rPr>
      <w:rFonts w:ascii="ˎ̥" w:hAnsi="ˎ̥"/>
      <w:color w:val="000000"/>
      <w:sz w:val="20"/>
      <w:szCs w:val="20"/>
      <w:u w:val="none"/>
    </w:rPr>
  </w:style>
  <w:style w:type="character" w:styleId="936">
    <w:name w:val="列表段落 字符"/>
    <w:next w:val="936"/>
    <w:link w:val="937"/>
    <w:uiPriority w:val="34"/>
    <w:qFormat/>
    <w:rPr>
      <w:rFonts w:ascii="Calibri" w:hAnsi="Calibri" w:eastAsia="宋体"/>
      <w:sz w:val="21"/>
      <w:szCs w:val="22"/>
      <w:lang w:val="en-US" w:eastAsia="zh-CN" w:bidi="ar-SA"/>
    </w:rPr>
  </w:style>
  <w:style w:type="paragraph" w:styleId="937">
    <w:name w:val="列表段落"/>
    <w:basedOn w:val="840"/>
    <w:next w:val="937"/>
    <w:link w:val="936"/>
    <w:uiPriority w:val="34"/>
    <w:qFormat/>
    <w:pPr>
      <w:ind w:firstLine="420"/>
    </w:pPr>
    <w:rPr>
      <w:rFonts w:ascii="Calibri" w:hAnsi="Calibri"/>
      <w:szCs w:val="22"/>
    </w:rPr>
  </w:style>
  <w:style w:type="character" w:styleId="938">
    <w:name w:val="标题 3 Char Char"/>
    <w:next w:val="938"/>
    <w:link w:val="840"/>
    <w:qFormat/>
    <w:rPr>
      <w:rFonts w:eastAsia="宋体"/>
      <w:b/>
      <w:bCs/>
      <w:sz w:val="32"/>
      <w:szCs w:val="32"/>
      <w:lang w:val="en-US" w:eastAsia="zh-CN" w:bidi="ar-SA"/>
    </w:rPr>
  </w:style>
  <w:style w:type="character" w:styleId="939">
    <w:name w:val="段1 Char"/>
    <w:next w:val="939"/>
    <w:link w:val="840"/>
    <w:qFormat/>
    <w:rPr>
      <w:rFonts w:ascii="宋体" w:eastAsia="宋体"/>
      <w:sz w:val="24"/>
      <w:lang w:val="en-US" w:eastAsia="zh-CN" w:bidi="ar-SA"/>
    </w:rPr>
  </w:style>
  <w:style w:type="character" w:styleId="940">
    <w:name w:val="chanpin拷贝"/>
    <w:next w:val="940"/>
    <w:link w:val="840"/>
    <w:qFormat/>
  </w:style>
  <w:style w:type="character" w:styleId="941">
    <w:name w:val="纯文本 Char1"/>
    <w:next w:val="941"/>
    <w:link w:val="840"/>
    <w:qFormat/>
    <w:rPr>
      <w:rFonts w:ascii="宋体" w:hAnsi="Courier New" w:eastAsia="宋体"/>
      <w:sz w:val="21"/>
      <w:lang w:val="en-US" w:eastAsia="zh-CN" w:bidi="ar-SA"/>
    </w:rPr>
  </w:style>
  <w:style w:type="character" w:styleId="942">
    <w:name w:val="apple-style-span"/>
    <w:next w:val="942"/>
    <w:link w:val="840"/>
    <w:qFormat/>
    <w:rPr>
      <w:rFonts w:cs="Times New Roman"/>
    </w:rPr>
  </w:style>
  <w:style w:type="paragraph" w:styleId="943">
    <w:name w:val="二级条标题"/>
    <w:basedOn w:val="944"/>
    <w:next w:val="840"/>
    <w:link w:val="840"/>
    <w:qFormat/>
    <w:pPr>
      <w:numPr>
        <w:ilvl w:val="0"/>
        <w:numId w:val="0"/>
      </w:numPr>
      <w:ind w:hanging="840"/>
      <w:tabs>
        <w:tab w:val="left" w:pos="360" w:leader="none"/>
        <w:tab w:val="left" w:pos="840" w:leader="none"/>
      </w:tabs>
      <w:outlineLvl w:val="2"/>
    </w:pPr>
    <w:rPr>
      <w:rFonts w:ascii="宋体" w:eastAsia="宋体"/>
      <w:b w:val="0"/>
    </w:rPr>
  </w:style>
  <w:style w:type="paragraph" w:styleId="944">
    <w:name w:val="一级条标题"/>
    <w:basedOn w:val="945"/>
    <w:next w:val="840"/>
    <w:link w:val="840"/>
    <w:qFormat/>
    <w:pPr>
      <w:numPr>
        <w:ilvl w:val="1"/>
      </w:numPr>
      <w:ind w:left="0" w:hanging="840"/>
      <w:tabs>
        <w:tab w:val="left" w:pos="360" w:leader="none"/>
        <w:tab w:val="left" w:pos="840" w:leader="none"/>
      </w:tabs>
      <w:outlineLvl w:val="1"/>
    </w:pPr>
  </w:style>
  <w:style w:type="paragraph" w:styleId="945">
    <w:name w:val="章标题"/>
    <w:next w:val="840"/>
    <w:link w:val="8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6">
    <w:name w:val="font7"/>
    <w:basedOn w:val="840"/>
    <w:next w:val="946"/>
    <w:link w:val="840"/>
    <w:qFormat/>
    <w:pPr>
      <w:jc w:val="left"/>
      <w:spacing w:before="100" w:beforeAutospacing="1" w:after="100" w:afterAutospacing="1"/>
      <w:widowControl/>
    </w:pPr>
    <w:rPr>
      <w:rFonts w:eastAsia="Arial Unicode MS"/>
      <w:b/>
      <w:bCs/>
      <w:color w:val="000000"/>
      <w:sz w:val="20"/>
      <w:szCs w:val="20"/>
    </w:rPr>
  </w:style>
  <w:style w:type="paragraph" w:styleId="947">
    <w:name w:val="字元 字元"/>
    <w:basedOn w:val="840"/>
    <w:next w:val="947"/>
    <w:link w:val="840"/>
    <w:qFormat/>
    <w:rPr>
      <w:rFonts w:ascii="Tahoma" w:hAnsi="Tahoma"/>
      <w:sz w:val="24"/>
      <w:szCs w:val="20"/>
    </w:rPr>
  </w:style>
  <w:style w:type="paragraph" w:styleId="948">
    <w:name w:val="Char3 Char Char Char"/>
    <w:basedOn w:val="840"/>
    <w:next w:val="948"/>
    <w:link w:val="840"/>
    <w:qFormat/>
    <w:rPr>
      <w:rFonts w:ascii="Tahoma" w:hAnsi="Tahoma"/>
      <w:sz w:val="24"/>
      <w:szCs w:val="20"/>
    </w:rPr>
  </w:style>
  <w:style w:type="paragraph" w:styleId="949">
    <w:name w:val="font6"/>
    <w:basedOn w:val="840"/>
    <w:next w:val="949"/>
    <w:link w:val="840"/>
    <w:qFormat/>
    <w:pPr>
      <w:jc w:val="left"/>
      <w:spacing w:before="100" w:beforeAutospacing="1" w:after="100" w:afterAutospacing="1"/>
      <w:widowControl/>
    </w:pPr>
    <w:rPr>
      <w:rFonts w:ascii="宋体" w:hAnsi="宋体" w:cs="宋体"/>
      <w:sz w:val="20"/>
      <w:szCs w:val="20"/>
    </w:rPr>
  </w:style>
  <w:style w:type="paragraph" w:styleId="950">
    <w:name w:val="项目编号2"/>
    <w:basedOn w:val="951"/>
    <w:next w:val="950"/>
    <w:link w:val="840"/>
    <w:qFormat/>
    <w:pPr>
      <w:numPr>
        <w:numId w:val="3"/>
      </w:numPr>
    </w:pPr>
  </w:style>
  <w:style w:type="paragraph" w:styleId="951">
    <w:name w:val="项目编号1"/>
    <w:basedOn w:val="840"/>
    <w:next w:val="951"/>
    <w:link w:val="840"/>
    <w:qFormat/>
    <w:pPr>
      <w:numPr>
        <w:ilvl w:val="0"/>
        <w:numId w:val="2"/>
      </w:numPr>
      <w:spacing w:before="100" w:beforeAutospacing="1" w:after="100" w:afterAutospacing="1" w:line="360" w:lineRule="auto"/>
    </w:pPr>
    <w:rPr>
      <w:sz w:val="24"/>
    </w:rPr>
  </w:style>
  <w:style w:type="paragraph" w:styleId="952">
    <w:name w:val="图中文字"/>
    <w:basedOn w:val="840"/>
    <w:next w:val="952"/>
    <w:link w:val="840"/>
    <w:qFormat/>
    <w:pPr>
      <w:jc w:val="center"/>
      <w:spacing w:line="0" w:lineRule="atLeast"/>
    </w:pPr>
    <w:rPr>
      <w:sz w:val="24"/>
      <w:szCs w:val="20"/>
    </w:rPr>
  </w:style>
  <w:style w:type="paragraph" w:styleId="953">
    <w:name w:val="xl46"/>
    <w:basedOn w:val="840"/>
    <w:next w:val="953"/>
    <w:link w:val="8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4">
    <w:name w:val="xl25"/>
    <w:basedOn w:val="840"/>
    <w:next w:val="954"/>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Char2"/>
    <w:basedOn w:val="840"/>
    <w:next w:val="955"/>
    <w:link w:val="840"/>
    <w:qFormat/>
    <w:rPr>
      <w:rFonts w:ascii="Tahoma" w:hAnsi="Tahoma"/>
      <w:sz w:val="24"/>
      <w:szCs w:val="20"/>
    </w:rPr>
  </w:style>
  <w:style w:type="paragraph" w:styleId="956">
    <w:name w:val="xl35"/>
    <w:basedOn w:val="840"/>
    <w:next w:val="956"/>
    <w:link w:val="8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7">
    <w:name w:val="xl40"/>
    <w:basedOn w:val="840"/>
    <w:next w:val="957"/>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8">
    <w:name w:val="xl52"/>
    <w:basedOn w:val="840"/>
    <w:next w:val="958"/>
    <w:link w:val="8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59">
    <w:name w:val="xl43"/>
    <w:basedOn w:val="840"/>
    <w:next w:val="959"/>
    <w:link w:val="8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0">
    <w:name w:val="background1"/>
    <w:basedOn w:val="840"/>
    <w:next w:val="960"/>
    <w:link w:val="840"/>
    <w:qFormat/>
    <w:pPr>
      <w:jc w:val="left"/>
      <w:spacing w:before="100" w:beforeAutospacing="1" w:after="100" w:afterAutospacing="1"/>
      <w:widowControl/>
    </w:pPr>
    <w:rPr>
      <w:rFonts w:ascii="宋体" w:hAnsi="宋体" w:cs="宋体"/>
      <w:sz w:val="24"/>
    </w:rPr>
  </w:style>
  <w:style w:type="paragraph" w:styleId="961">
    <w:name w:val="Char Char Char Char Char Char Char"/>
    <w:basedOn w:val="840"/>
    <w:next w:val="961"/>
    <w:link w:val="840"/>
    <w:qFormat/>
    <w:pPr>
      <w:ind w:firstLine="200"/>
      <w:spacing w:line="360" w:lineRule="auto"/>
    </w:pPr>
    <w:rPr>
      <w:rFonts w:eastAsia="仿宋_GB2312"/>
      <w:sz w:val="24"/>
    </w:rPr>
  </w:style>
  <w:style w:type="paragraph" w:styleId="962">
    <w:name w:val="xl38"/>
    <w:basedOn w:val="840"/>
    <w:next w:val="962"/>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63">
    <w:name w:val="xl36"/>
    <w:basedOn w:val="840"/>
    <w:next w:val="963"/>
    <w:link w:val="8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4">
    <w:name w:val="正文 + 宋体"/>
    <w:basedOn w:val="840"/>
    <w:next w:val="964"/>
    <w:link w:val="840"/>
    <w:qFormat/>
    <w:pPr>
      <w:ind w:left="360" w:hanging="360"/>
      <w:jc w:val="left"/>
      <w:widowControl/>
    </w:pPr>
    <w:rPr>
      <w:rFonts w:ascii="宋体" w:hAnsi="宋体" w:cs="宋体"/>
      <w:b/>
      <w:bCs/>
      <w:color w:val="000000"/>
      <w:sz w:val="18"/>
      <w:szCs w:val="18"/>
    </w:rPr>
  </w:style>
  <w:style w:type="paragraph" w:styleId="965">
    <w:name w:val="正文列项_数字"/>
    <w:basedOn w:val="840"/>
    <w:next w:val="965"/>
    <w:link w:val="840"/>
    <w:qFormat/>
    <w:pPr>
      <w:numPr>
        <w:ilvl w:val="7"/>
        <w:numId w:val="1"/>
      </w:numPr>
      <w:ind w:left="680" w:hanging="150"/>
      <w:spacing w:line="460" w:lineRule="exact"/>
      <w:tabs>
        <w:tab w:val="clear" w:pos="860" w:leader="none"/>
      </w:tabs>
      <w:outlineLvl w:val="7"/>
    </w:pPr>
    <w:rPr>
      <w:rFonts w:ascii="宋体"/>
      <w:sz w:val="28"/>
      <w:szCs w:val="20"/>
    </w:rPr>
  </w:style>
  <w:style w:type="paragraph" w:styleId="966">
    <w:name w:val="xl39"/>
    <w:basedOn w:val="840"/>
    <w:next w:val="966"/>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7">
    <w:name w:val="xl37"/>
    <w:basedOn w:val="840"/>
    <w:next w:val="967"/>
    <w:link w:val="8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8">
    <w:name w:val="xl32"/>
    <w:basedOn w:val="840"/>
    <w:next w:val="968"/>
    <w:link w:val="8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font8"/>
    <w:basedOn w:val="840"/>
    <w:next w:val="969"/>
    <w:link w:val="840"/>
    <w:qFormat/>
    <w:pPr>
      <w:jc w:val="left"/>
      <w:spacing w:before="100" w:beforeAutospacing="1" w:after="100" w:afterAutospacing="1"/>
      <w:widowControl/>
    </w:pPr>
    <w:rPr>
      <w:sz w:val="36"/>
      <w:szCs w:val="36"/>
    </w:rPr>
  </w:style>
  <w:style w:type="paragraph" w:styleId="970">
    <w:name w:val="Char"/>
    <w:basedOn w:val="840"/>
    <w:next w:val="970"/>
    <w:link w:val="840"/>
    <w:qFormat/>
    <w:pPr>
      <w:tabs>
        <w:tab w:val="left" w:pos="360" w:leader="none"/>
      </w:tabs>
    </w:pPr>
    <w:rPr>
      <w:sz w:val="24"/>
    </w:rPr>
  </w:style>
  <w:style w:type="paragraph" w:styleId="971">
    <w:name w:val="Char Char Char Char Char Char Char Char Char Char Char Char Char Char Char Char"/>
    <w:basedOn w:val="840"/>
    <w:next w:val="971"/>
    <w:link w:val="840"/>
    <w:qFormat/>
    <w:pPr>
      <w:jc w:val="center"/>
      <w:spacing w:after="160" w:line="240" w:lineRule="exact"/>
      <w:widowControl/>
    </w:pPr>
    <w:rPr>
      <w:rFonts w:ascii="宋体" w:hAnsi="宋体"/>
      <w:b/>
      <w:sz w:val="30"/>
      <w:szCs w:val="30"/>
      <w:lang w:eastAsia="en-US"/>
    </w:rPr>
  </w:style>
  <w:style w:type="paragraph" w:styleId="972">
    <w:name w:val="xl45"/>
    <w:basedOn w:val="840"/>
    <w:next w:val="972"/>
    <w:link w:val="8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3">
    <w:name w:val="Char Char1 Char Char Char Char Char Char"/>
    <w:basedOn w:val="840"/>
    <w:next w:val="973"/>
    <w:link w:val="840"/>
    <w:qFormat/>
    <w:pPr>
      <w:jc w:val="left"/>
      <w:spacing w:after="160" w:line="240" w:lineRule="exact"/>
      <w:widowControl/>
    </w:pPr>
    <w:rPr>
      <w:rFonts w:ascii="Verdana" w:hAnsi="Verdana" w:eastAsia="仿宋_GB2312"/>
      <w:sz w:val="24"/>
      <w:szCs w:val="20"/>
      <w:lang w:eastAsia="en-US"/>
    </w:rPr>
  </w:style>
  <w:style w:type="paragraph" w:styleId="974">
    <w:name w:val="Char Char1"/>
    <w:basedOn w:val="865"/>
    <w:next w:val="974"/>
    <w:link w:val="840"/>
    <w:qFormat/>
    <w:rPr>
      <w:rFonts w:ascii="Tahoma" w:hAnsi="Tahoma"/>
      <w:sz w:val="24"/>
    </w:rPr>
  </w:style>
  <w:style w:type="paragraph" w:styleId="975">
    <w:name w:val="xl26"/>
    <w:basedOn w:val="840"/>
    <w:next w:val="975"/>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6">
    <w:name w:val="xl30"/>
    <w:basedOn w:val="840"/>
    <w:next w:val="976"/>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7">
    <w:name w:val="xl41"/>
    <w:basedOn w:val="840"/>
    <w:next w:val="977"/>
    <w:link w:val="8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8">
    <w:name w:val="样式 宋体 五号 行距: 单倍行距"/>
    <w:basedOn w:val="840"/>
    <w:next w:val="978"/>
    <w:link w:val="840"/>
    <w:qFormat/>
    <w:pPr>
      <w:jc w:val="left"/>
    </w:pPr>
    <w:rPr>
      <w:rFonts w:ascii="宋体" w:hAnsi="宋体"/>
      <w:szCs w:val="20"/>
    </w:rPr>
  </w:style>
  <w:style w:type="paragraph" w:styleId="979">
    <w:name w:val="Char1 Char Char Char1"/>
    <w:basedOn w:val="840"/>
    <w:next w:val="979"/>
    <w:link w:val="840"/>
    <w:qFormat/>
    <w:rPr>
      <w:rFonts w:ascii="Tahoma" w:hAnsi="Tahoma" w:cs="仿宋_GB2312"/>
      <w:sz w:val="24"/>
      <w:szCs w:val="28"/>
    </w:rPr>
  </w:style>
  <w:style w:type="paragraph" w:styleId="980">
    <w:name w:val="四级条标题"/>
    <w:basedOn w:val="981"/>
    <w:next w:val="840"/>
    <w:link w:val="840"/>
    <w:qFormat/>
    <w:pPr>
      <w:numPr>
        <w:ilvl w:val="4"/>
      </w:numPr>
      <w:ind w:left="0" w:hanging="840"/>
      <w:tabs>
        <w:tab w:val="left" w:pos="360" w:leader="none"/>
        <w:tab w:val="left" w:pos="840" w:leader="none"/>
      </w:tabs>
      <w:outlineLvl w:val="4"/>
    </w:pPr>
  </w:style>
  <w:style w:type="paragraph" w:styleId="981">
    <w:name w:val="三级条标题"/>
    <w:basedOn w:val="943"/>
    <w:next w:val="840"/>
    <w:link w:val="840"/>
    <w:qFormat/>
    <w:pPr>
      <w:numPr>
        <w:ilvl w:val="3"/>
        <w:numId w:val="1"/>
      </w:numPr>
      <w:ind w:left="0" w:hanging="840"/>
      <w:tabs>
        <w:tab w:val="left" w:pos="360" w:leader="none"/>
        <w:tab w:val="left" w:pos="840" w:leader="none"/>
      </w:tabs>
      <w:outlineLvl w:val="3"/>
    </w:pPr>
  </w:style>
  <w:style w:type="paragraph" w:styleId="982">
    <w:name w:val="??"/>
    <w:next w:val="982"/>
    <w:link w:val="840"/>
    <w:qFormat/>
    <w:pPr>
      <w:jc w:val="both"/>
      <w:widowControl w:val="off"/>
    </w:pPr>
    <w:rPr>
      <w:sz w:val="21"/>
      <w:lang w:val="en-US" w:eastAsia="en-US" w:bidi="ar-SA"/>
    </w:rPr>
  </w:style>
  <w:style w:type="paragraph" w:styleId="983">
    <w:name w:val="样式 标题 2 + 宋体 五号 行距: 单倍行距"/>
    <w:basedOn w:val="842"/>
    <w:next w:val="983"/>
    <w:link w:val="8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84">
    <w:name w:val="List Paragraph1"/>
    <w:basedOn w:val="840"/>
    <w:next w:val="984"/>
    <w:link w:val="840"/>
    <w:qFormat/>
    <w:pPr>
      <w:ind w:firstLine="420"/>
    </w:pPr>
    <w:rPr>
      <w:rFonts w:ascii="Calibri" w:hAnsi="Calibri"/>
      <w:szCs w:val="22"/>
    </w:rPr>
  </w:style>
  <w:style w:type="paragraph" w:styleId="985">
    <w:name w:val="项目符号1"/>
    <w:basedOn w:val="986"/>
    <w:next w:val="985"/>
    <w:link w:val="840"/>
    <w:qFormat/>
    <w:pPr>
      <w:ind w:left="-25" w:firstLine="0"/>
    </w:pPr>
  </w:style>
  <w:style w:type="paragraph" w:styleId="986">
    <w:name w:val="正文文本样式"/>
    <w:basedOn w:val="840"/>
    <w:next w:val="986"/>
    <w:link w:val="840"/>
    <w:qFormat/>
    <w:pPr>
      <w:ind w:firstLine="482"/>
      <w:spacing w:line="360" w:lineRule="auto"/>
    </w:pPr>
    <w:rPr>
      <w:rFonts w:cs="宋体"/>
      <w:sz w:val="24"/>
      <w:szCs w:val="20"/>
    </w:rPr>
  </w:style>
  <w:style w:type="paragraph" w:styleId="987">
    <w:name w:val="xl27"/>
    <w:basedOn w:val="840"/>
    <w:next w:val="987"/>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8">
    <w:name w:val="font5"/>
    <w:basedOn w:val="840"/>
    <w:next w:val="988"/>
    <w:link w:val="840"/>
    <w:qFormat/>
    <w:pPr>
      <w:jc w:val="left"/>
      <w:spacing w:before="100" w:beforeAutospacing="1" w:after="100" w:afterAutospacing="1"/>
      <w:widowControl/>
    </w:pPr>
    <w:rPr>
      <w:rFonts w:ascii="宋体" w:hAnsi="宋体" w:cs="宋体"/>
      <w:sz w:val="18"/>
      <w:szCs w:val="18"/>
    </w:rPr>
  </w:style>
  <w:style w:type="paragraph" w:styleId="989">
    <w:name w:val="五级条标题"/>
    <w:basedOn w:val="980"/>
    <w:next w:val="840"/>
    <w:link w:val="840"/>
    <w:qFormat/>
    <w:pPr>
      <w:numPr>
        <w:ilvl w:val="5"/>
      </w:numPr>
      <w:ind w:left="0" w:hanging="840"/>
      <w:tabs>
        <w:tab w:val="left" w:pos="360" w:leader="none"/>
        <w:tab w:val="left" w:pos="840" w:leader="none"/>
      </w:tabs>
      <w:outlineLvl w:val="5"/>
    </w:pPr>
  </w:style>
  <w:style w:type="paragraph" w:styleId="990">
    <w:name w:val="xl49"/>
    <w:basedOn w:val="840"/>
    <w:next w:val="990"/>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1">
    <w:name w:val="文档正文"/>
    <w:basedOn w:val="840"/>
    <w:next w:val="991"/>
    <w:link w:val="840"/>
    <w:qFormat/>
    <w:pPr>
      <w:spacing w:before="120" w:after="120" w:line="180" w:lineRule="auto"/>
    </w:pPr>
    <w:rPr>
      <w:rFonts w:ascii="Arial" w:hAnsi="Arial"/>
      <w:szCs w:val="20"/>
    </w:rPr>
  </w:style>
  <w:style w:type="paragraph" w:styleId="992">
    <w:name w:val="xl33"/>
    <w:basedOn w:val="840"/>
    <w:next w:val="992"/>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3">
    <w:name w:val="xl42"/>
    <w:basedOn w:val="840"/>
    <w:next w:val="993"/>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4">
    <w:name w:val="Char Char Char1 Char"/>
    <w:basedOn w:val="840"/>
    <w:next w:val="994"/>
    <w:link w:val="840"/>
    <w:qFormat/>
    <w:rPr>
      <w:rFonts w:ascii="Tahoma" w:hAnsi="Tahoma"/>
      <w:sz w:val="24"/>
      <w:szCs w:val="20"/>
    </w:rPr>
  </w:style>
  <w:style w:type="paragraph" w:styleId="995">
    <w:name w:val="xl44"/>
    <w:basedOn w:val="840"/>
    <w:next w:val="995"/>
    <w:link w:val="8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6">
    <w:name w:val="1名"/>
    <w:basedOn w:val="840"/>
    <w:next w:val="996"/>
    <w:link w:val="840"/>
    <w:qFormat/>
    <w:pPr>
      <w:numPr>
        <w:ilvl w:val="0"/>
        <w:numId w:val="5"/>
      </w:numPr>
      <w:spacing w:before="120"/>
      <w:tabs>
        <w:tab w:val="left" w:pos="360" w:leader="none"/>
      </w:tabs>
    </w:pPr>
    <w:rPr>
      <w:rFonts w:ascii="宋体"/>
      <w:sz w:val="28"/>
      <w:szCs w:val="20"/>
    </w:rPr>
  </w:style>
  <w:style w:type="paragraph" w:styleId="997">
    <w:name w:val="font9"/>
    <w:basedOn w:val="840"/>
    <w:next w:val="997"/>
    <w:link w:val="840"/>
    <w:qFormat/>
    <w:pPr>
      <w:jc w:val="left"/>
      <w:spacing w:before="100" w:beforeAutospacing="1" w:after="100" w:afterAutospacing="1"/>
      <w:widowControl/>
    </w:pPr>
    <w:rPr>
      <w:rFonts w:hint="eastAsia" w:ascii="宋体" w:hAnsi="宋体" w:cs="Arial Unicode MS"/>
      <w:color w:val="000000"/>
      <w:sz w:val="20"/>
      <w:szCs w:val="20"/>
    </w:rPr>
  </w:style>
  <w:style w:type="paragraph" w:styleId="998">
    <w:name w:val="Char Char Char1 Char1"/>
    <w:basedOn w:val="840"/>
    <w:next w:val="998"/>
    <w:link w:val="840"/>
    <w:qFormat/>
    <w:rPr>
      <w:rFonts w:ascii="Tahoma" w:hAnsi="Tahoma"/>
      <w:sz w:val="24"/>
      <w:szCs w:val="20"/>
    </w:rPr>
  </w:style>
  <w:style w:type="paragraph" w:styleId="999">
    <w:name w:val="Char Char Char Char Char Char Char Char Char Char"/>
    <w:basedOn w:val="840"/>
    <w:next w:val="999"/>
    <w:link w:val="840"/>
    <w:qFormat/>
  </w:style>
  <w:style w:type="paragraph" w:styleId="1000">
    <w:name w:val="Char Char1 Char Char Char Char Char Char Char Char"/>
    <w:basedOn w:val="840"/>
    <w:next w:val="1000"/>
    <w:link w:val="840"/>
    <w:qFormat/>
    <w:pPr>
      <w:jc w:val="left"/>
      <w:spacing w:after="160" w:line="240" w:lineRule="exact"/>
      <w:widowControl/>
    </w:pPr>
    <w:rPr>
      <w:rFonts w:ascii="Verdana" w:hAnsi="Verdana"/>
      <w:sz w:val="20"/>
      <w:szCs w:val="20"/>
      <w:lang w:eastAsia="en-US"/>
    </w:rPr>
  </w:style>
  <w:style w:type="paragraph" w:styleId="1001">
    <w:name w:val="Char1"/>
    <w:basedOn w:val="840"/>
    <w:next w:val="1001"/>
    <w:link w:val="840"/>
    <w:qFormat/>
    <w:pPr>
      <w:tabs>
        <w:tab w:val="left" w:pos="360" w:leader="none"/>
      </w:tabs>
    </w:pPr>
    <w:rPr>
      <w:sz w:val="24"/>
    </w:rPr>
  </w:style>
  <w:style w:type="paragraph" w:styleId="1002">
    <w:name w:val="正文列项_字母"/>
    <w:basedOn w:val="840"/>
    <w:next w:val="1002"/>
    <w:link w:val="840"/>
    <w:qFormat/>
    <w:pPr>
      <w:numPr>
        <w:ilvl w:val="6"/>
        <w:numId w:val="1"/>
      </w:numPr>
      <w:ind w:left="480" w:hanging="180"/>
      <w:spacing w:line="460" w:lineRule="exact"/>
      <w:tabs>
        <w:tab w:val="clear" w:pos="635" w:leader="none"/>
      </w:tabs>
      <w:outlineLvl w:val="6"/>
    </w:pPr>
    <w:rPr>
      <w:rFonts w:ascii="宋体"/>
      <w:sz w:val="28"/>
      <w:szCs w:val="20"/>
    </w:rPr>
  </w:style>
  <w:style w:type="paragraph" w:styleId="1003">
    <w:name w:val="xl28"/>
    <w:basedOn w:val="840"/>
    <w:next w:val="1003"/>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4">
    <w:name w:val="xl47"/>
    <w:basedOn w:val="840"/>
    <w:next w:val="1004"/>
    <w:link w:val="8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5">
    <w:name w:val="默认段落字体 Para Char Char Char Char"/>
    <w:basedOn w:val="840"/>
    <w:next w:val="1005"/>
    <w:link w:val="840"/>
    <w:qFormat/>
    <w:rPr>
      <w:rFonts w:ascii="Arial" w:hAnsi="Arial" w:cs="Arial"/>
      <w:szCs w:val="21"/>
    </w:rPr>
  </w:style>
  <w:style w:type="paragraph" w:styleId="1006">
    <w:name w:val="xl48"/>
    <w:basedOn w:val="840"/>
    <w:next w:val="1006"/>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07">
    <w:name w:val="xl31"/>
    <w:basedOn w:val="840"/>
    <w:next w:val="1007"/>
    <w:link w:val="8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53"/>
    <w:basedOn w:val="840"/>
    <w:next w:val="1008"/>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9">
    <w:name w:val="Char Char Char"/>
    <w:basedOn w:val="840"/>
    <w:next w:val="1009"/>
    <w:link w:val="840"/>
    <w:qFormat/>
    <w:rPr>
      <w:rFonts w:ascii="Tahoma" w:hAnsi="Tahoma"/>
      <w:sz w:val="24"/>
      <w:szCs w:val="20"/>
    </w:rPr>
  </w:style>
  <w:style w:type="paragraph" w:styleId="1010">
    <w:name w:val="xl50"/>
    <w:basedOn w:val="840"/>
    <w:next w:val="1010"/>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1">
    <w:name w:val="缺省文本"/>
    <w:basedOn w:val="840"/>
    <w:next w:val="1011"/>
    <w:link w:val="840"/>
    <w:qFormat/>
    <w:pPr>
      <w:jc w:val="left"/>
    </w:pPr>
    <w:rPr>
      <w:sz w:val="24"/>
    </w:rPr>
  </w:style>
  <w:style w:type="paragraph" w:styleId="1012">
    <w:name w:val="Char Char Char1"/>
    <w:basedOn w:val="840"/>
    <w:next w:val="1012"/>
    <w:link w:val="840"/>
    <w:qFormat/>
    <w:rPr>
      <w:rFonts w:ascii="Tahoma" w:hAnsi="Tahoma"/>
      <w:sz w:val="24"/>
      <w:szCs w:val="20"/>
    </w:rPr>
  </w:style>
  <w:style w:type="paragraph" w:styleId="1013">
    <w:name w:val="Char Char Char Char Char Char Char1"/>
    <w:basedOn w:val="840"/>
    <w:next w:val="1013"/>
    <w:link w:val="840"/>
    <w:qFormat/>
    <w:pPr>
      <w:ind w:firstLine="200"/>
      <w:spacing w:line="360" w:lineRule="auto"/>
    </w:pPr>
    <w:rPr>
      <w:rFonts w:eastAsia="仿宋_GB2312"/>
      <w:sz w:val="24"/>
    </w:rPr>
  </w:style>
  <w:style w:type="paragraph" w:styleId="1014">
    <w:name w:val="xl51"/>
    <w:basedOn w:val="840"/>
    <w:next w:val="1014"/>
    <w:link w:val="8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5">
    <w:name w:val="样式2"/>
    <w:basedOn w:val="904"/>
    <w:next w:val="1015"/>
    <w:link w:val="840"/>
    <w:qFormat/>
    <w:pPr>
      <w:jc w:val="center"/>
      <w:spacing w:line="360" w:lineRule="auto"/>
    </w:pPr>
    <w:rPr>
      <w:sz w:val="24"/>
    </w:rPr>
  </w:style>
  <w:style w:type="paragraph" w:styleId="1016">
    <w:name w:val="xl24"/>
    <w:basedOn w:val="840"/>
    <w:next w:val="1016"/>
    <w:link w:val="8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xl29"/>
    <w:basedOn w:val="840"/>
    <w:next w:val="1017"/>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8">
    <w:name w:val="正文 + 楷体_GB2312"/>
    <w:basedOn w:val="840"/>
    <w:next w:val="1018"/>
    <w:link w:val="840"/>
    <w:qFormat/>
    <w:pPr>
      <w:jc w:val="left"/>
      <w:widowControl/>
    </w:pPr>
    <w:rPr>
      <w:rFonts w:ascii="楷体_GB2312" w:eastAsia="楷体_GB2312" w:cs="Arial"/>
      <w:sz w:val="24"/>
    </w:rPr>
  </w:style>
  <w:style w:type="paragraph" w:styleId="1019">
    <w:name w:val="xl34"/>
    <w:basedOn w:val="840"/>
    <w:next w:val="1019"/>
    <w:link w:val="8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0">
    <w:name w:val="1 Char Char Char Char"/>
    <w:basedOn w:val="840"/>
    <w:next w:val="1020"/>
    <w:link w:val="840"/>
    <w:qFormat/>
    <w:rPr>
      <w:rFonts w:ascii="Tahoma" w:hAnsi="Tahoma"/>
      <w:sz w:val="24"/>
      <w:szCs w:val="20"/>
    </w:rPr>
  </w:style>
  <w:style w:type="paragraph" w:styleId="1021">
    <w:name w:val="Default"/>
    <w:next w:val="1021"/>
    <w:link w:val="840"/>
    <w:qFormat/>
    <w:pPr>
      <w:widowControl w:val="off"/>
    </w:pPr>
    <w:rPr>
      <w:rFonts w:ascii="Symbol" w:hAnsi="Symbol" w:cs="Symbol"/>
      <w:color w:val="000000"/>
      <w:sz w:val="24"/>
      <w:szCs w:val="24"/>
      <w:lang w:val="en-US" w:eastAsia="zh-CN" w:bidi="ar-SA"/>
    </w:rPr>
  </w:style>
  <w:style w:type="paragraph" w:styleId="1022">
    <w:name w:val="列出段落1"/>
    <w:basedOn w:val="840"/>
    <w:next w:val="1022"/>
    <w:link w:val="840"/>
    <w:qFormat/>
    <w:pPr>
      <w:ind w:firstLine="420"/>
    </w:pPr>
    <w:rPr>
      <w:rFonts w:ascii="Calibri" w:hAnsi="Calibri"/>
      <w:szCs w:val="22"/>
    </w:rPr>
  </w:style>
  <w:style w:type="paragraph" w:styleId="1023">
    <w:name w:val="default"/>
    <w:basedOn w:val="840"/>
    <w:next w:val="1023"/>
    <w:link w:val="840"/>
    <w:qFormat/>
    <w:pPr>
      <w:jc w:val="left"/>
      <w:spacing w:before="100" w:beforeAutospacing="1" w:after="100" w:afterAutospacing="1"/>
      <w:widowControl/>
    </w:pPr>
    <w:rPr>
      <w:rFonts w:ascii="宋体" w:hAnsi="宋体" w:cs="宋体"/>
      <w:sz w:val="24"/>
    </w:rPr>
  </w:style>
  <w:style w:type="paragraph" w:styleId="1024">
    <w:name w:val="字元 字元1"/>
    <w:basedOn w:val="840"/>
    <w:next w:val="1024"/>
    <w:link w:val="840"/>
    <w:qFormat/>
    <w:rPr>
      <w:rFonts w:ascii="Tahoma" w:hAnsi="Tahoma"/>
      <w:sz w:val="24"/>
      <w:szCs w:val="20"/>
    </w:rPr>
  </w:style>
  <w:style w:type="paragraph" w:styleId="1025">
    <w:name w:val="_Style 160"/>
    <w:next w:val="1025"/>
    <w:link w:val="840"/>
    <w:qFormat/>
    <w:rPr>
      <w:sz w:val="21"/>
      <w:szCs w:val="24"/>
      <w:lang w:val="en-US" w:eastAsia="zh-CN" w:bidi="ar-SA"/>
    </w:rPr>
  </w:style>
  <w:style w:type="paragraph" w:styleId="1026">
    <w:name w:val="项目编号3"/>
    <w:basedOn w:val="986"/>
    <w:next w:val="1026"/>
    <w:link w:val="840"/>
    <w:qFormat/>
    <w:pPr>
      <w:numPr>
        <w:ilvl w:val="0"/>
        <w:numId w:val="6"/>
      </w:numPr>
    </w:pPr>
  </w:style>
  <w:style w:type="paragraph" w:styleId="1027">
    <w:name w:val="Char21"/>
    <w:basedOn w:val="840"/>
    <w:next w:val="1027"/>
    <w:link w:val="840"/>
    <w:qFormat/>
    <w:rPr>
      <w:rFonts w:ascii="Tahoma" w:hAnsi="Tahoma"/>
      <w:sz w:val="24"/>
      <w:szCs w:val="20"/>
    </w:rPr>
  </w:style>
  <w:style w:type="paragraph" w:styleId="1028">
    <w:name w:val="表格文字"/>
    <w:basedOn w:val="873"/>
    <w:next w:val="1028"/>
    <w:link w:val="840"/>
    <w:qFormat/>
    <w:pPr>
      <w:ind w:firstLine="0"/>
      <w:spacing w:before="20" w:after="20" w:line="240" w:lineRule="auto"/>
    </w:pPr>
    <w:rPr>
      <w:rFonts w:ascii="Century Gothic" w:hAnsi="Century Gothic"/>
      <w:sz w:val="20"/>
      <w:szCs w:val="20"/>
    </w:rPr>
  </w:style>
  <w:style w:type="paragraph" w:styleId="1029">
    <w:name w:val="Char Char Char Char Char Char Char Char Char Char1"/>
    <w:basedOn w:val="840"/>
    <w:next w:val="1029"/>
    <w:link w:val="840"/>
    <w:qFormat/>
    <w:rPr>
      <w:rFonts w:ascii="宋体" w:hAnsi="宋体" w:cs="Courier New"/>
      <w:sz w:val="32"/>
      <w:szCs w:val="32"/>
    </w:rPr>
  </w:style>
  <w:style w:type="paragraph" w:styleId="1030">
    <w:name w:val="正文文本样式 加粗"/>
    <w:basedOn w:val="986"/>
    <w:next w:val="1030"/>
    <w:link w:val="840"/>
    <w:qFormat/>
    <w:rPr>
      <w:b/>
    </w:rPr>
  </w:style>
  <w:style w:type="paragraph" w:styleId="1031">
    <w:name w:val="Char2 Char Char Char Char Char Char"/>
    <w:basedOn w:val="840"/>
    <w:next w:val="1031"/>
    <w:link w:val="840"/>
    <w:qFormat/>
    <w:pPr>
      <w:jc w:val="center"/>
      <w:spacing w:line="400" w:lineRule="exact"/>
      <w:widowControl/>
    </w:pPr>
  </w:style>
  <w:style w:type="paragraph" w:styleId="1032">
    <w:name w:val="Char Char4"/>
    <w:basedOn w:val="840"/>
    <w:next w:val="1032"/>
    <w:link w:val="840"/>
    <w:qFormat/>
    <w:pPr>
      <w:jc w:val="center"/>
      <w:spacing w:line="400" w:lineRule="exact"/>
      <w:widowControl/>
    </w:pPr>
  </w:style>
  <w:style w:type="paragraph" w:styleId="1033">
    <w:name w:val="Char3 Char Char Char1"/>
    <w:basedOn w:val="840"/>
    <w:next w:val="1033"/>
    <w:link w:val="840"/>
    <w:qFormat/>
    <w:rPr>
      <w:rFonts w:ascii="Tahoma" w:hAnsi="Tahoma"/>
      <w:sz w:val="24"/>
      <w:szCs w:val="20"/>
    </w:rPr>
  </w:style>
  <w:style w:type="paragraph" w:styleId="1034">
    <w:name w:val="无间隔"/>
    <w:next w:val="1034"/>
    <w:link w:val="840"/>
    <w:qFormat/>
    <w:pPr>
      <w:jc w:val="both"/>
      <w:widowControl w:val="off"/>
    </w:pPr>
    <w:rPr>
      <w:sz w:val="21"/>
      <w:szCs w:val="24"/>
      <w:lang w:val="en-US" w:eastAsia="zh-CN" w:bidi="ar-SA"/>
    </w:rPr>
  </w:style>
  <w:style w:type="paragraph" w:styleId="1035">
    <w:name w:val="22222222222222"/>
    <w:basedOn w:val="840"/>
    <w:next w:val="1035"/>
    <w:link w:val="840"/>
    <w:qFormat/>
    <w:pPr>
      <w:ind w:firstLine="480"/>
      <w:jc w:val="left"/>
      <w:spacing w:line="360" w:lineRule="auto"/>
      <w:widowControl/>
    </w:pPr>
    <w:rPr>
      <w:color w:val="ff0000"/>
      <w:sz w:val="24"/>
      <w:szCs w:val="20"/>
    </w:rPr>
  </w:style>
  <w:style w:type="character" w:styleId="1036">
    <w:name w:val="中等深浅网格 1 - 强调文字颜色 2 Char"/>
    <w:next w:val="1036"/>
    <w:link w:val="1037"/>
    <w:qFormat/>
    <w:rPr>
      <w:sz w:val="21"/>
      <w:szCs w:val="24"/>
      <w:lang w:val="zh-CN" w:eastAsia="zh-CN" w:bidi="ar-SA"/>
    </w:rPr>
  </w:style>
  <w:style w:type="paragraph" w:styleId="1037">
    <w:name w:val="1"/>
    <w:next w:val="1037"/>
    <w:link w:val="1036"/>
    <w:qFormat/>
    <w:rPr>
      <w:sz w:val="21"/>
      <w:szCs w:val="24"/>
      <w:lang w:val="zh-CN" w:eastAsia="zh-CN" w:bidi="ar-SA"/>
    </w:rPr>
  </w:style>
  <w:style w:type="paragraph" w:styleId="1038">
    <w:name w:val="图文"/>
    <w:basedOn w:val="840"/>
    <w:next w:val="1038"/>
    <w:link w:val="840"/>
    <w:qFormat/>
    <w:pPr>
      <w:spacing w:after="50" w:line="360" w:lineRule="auto"/>
    </w:pPr>
    <w:rPr>
      <w:sz w:val="24"/>
    </w:rPr>
  </w:style>
  <w:style w:type="paragraph" w:styleId="1039">
    <w:name w:val="xl23"/>
    <w:basedOn w:val="840"/>
    <w:next w:val="1039"/>
    <w:link w:val="840"/>
    <w:qFormat/>
    <w:pPr>
      <w:spacing w:before="100" w:beforeAutospacing="1" w:after="100" w:afterAutospacing="1" w:line="360" w:lineRule="auto"/>
      <w:widowControl/>
    </w:pPr>
    <w:rPr>
      <w:sz w:val="24"/>
      <w:szCs w:val="20"/>
    </w:rPr>
  </w:style>
  <w:style w:type="paragraph" w:styleId="1040">
    <w:name w:val="正文表格"/>
    <w:basedOn w:val="840"/>
    <w:next w:val="1040"/>
    <w:link w:val="1041"/>
    <w:qFormat/>
    <w:pPr>
      <w:jc w:val="left"/>
    </w:pPr>
    <w:rPr>
      <w:rFonts w:ascii="宋体" w:hAnsi="宋体"/>
      <w:color w:val="000000"/>
      <w:szCs w:val="21"/>
    </w:rPr>
  </w:style>
  <w:style w:type="character" w:styleId="1041">
    <w:name w:val="正文表格 Char"/>
    <w:next w:val="1041"/>
    <w:link w:val="1040"/>
    <w:qFormat/>
    <w:rPr>
      <w:rFonts w:ascii="宋体" w:hAnsi="宋体"/>
      <w:color w:val="000000"/>
      <w:sz w:val="21"/>
      <w:szCs w:val="21"/>
    </w:rPr>
  </w:style>
  <w:style w:type="paragraph" w:styleId="1042">
    <w:name w:val="正文重点"/>
    <w:basedOn w:val="840"/>
    <w:next w:val="1042"/>
    <w:link w:val="1043"/>
    <w:qFormat/>
    <w:pPr>
      <w:ind w:firstLine="482"/>
      <w:jc w:val="left"/>
      <w:spacing w:line="360" w:lineRule="auto"/>
    </w:pPr>
    <w:rPr>
      <w:b/>
      <w:sz w:val="24"/>
      <w:szCs w:val="20"/>
    </w:rPr>
  </w:style>
  <w:style w:type="character" w:styleId="1043">
    <w:name w:val="正文重点 Char"/>
    <w:next w:val="1043"/>
    <w:link w:val="1042"/>
    <w:qFormat/>
    <w:rPr>
      <w:b/>
      <w:sz w:val="24"/>
    </w:rPr>
  </w:style>
  <w:style w:type="paragraph" w:styleId="1044">
    <w:name w:val="标题1-附件"/>
    <w:basedOn w:val="841"/>
    <w:next w:val="1044"/>
    <w:link w:val="840"/>
    <w:qFormat/>
    <w:pPr>
      <w:jc w:val="left"/>
    </w:pPr>
    <w:rPr>
      <w:sz w:val="24"/>
      <w:szCs w:val="24"/>
    </w:rPr>
  </w:style>
  <w:style w:type="paragraph" w:styleId="1045">
    <w:name w:val="正文小标题"/>
    <w:basedOn w:val="840"/>
    <w:next w:val="855"/>
    <w:link w:val="1046"/>
    <w:qFormat/>
    <w:pPr>
      <w:ind w:firstLine="482"/>
      <w:jc w:val="left"/>
      <w:spacing w:before="312" w:after="312"/>
    </w:pPr>
    <w:rPr>
      <w:rFonts w:ascii="宋体" w:hAnsi="宋体"/>
      <w:b/>
      <w:i/>
      <w:color w:val="ff0000"/>
      <w:sz w:val="24"/>
      <w:szCs w:val="20"/>
    </w:rPr>
  </w:style>
  <w:style w:type="character" w:styleId="1046">
    <w:name w:val="正文小标题 Char"/>
    <w:next w:val="1046"/>
    <w:link w:val="1045"/>
    <w:qFormat/>
    <w:rPr>
      <w:rFonts w:ascii="宋体" w:hAnsi="宋体"/>
      <w:b/>
      <w:i/>
      <w:color w:val="ff0000"/>
      <w:sz w:val="24"/>
    </w:rPr>
  </w:style>
  <w:style w:type="paragraph" w:styleId="1047">
    <w:name w:val="正文大标题"/>
    <w:basedOn w:val="1045"/>
    <w:next w:val="855"/>
    <w:link w:val="1048"/>
    <w:qFormat/>
    <w:pPr>
      <w:jc w:val="center"/>
    </w:pPr>
    <w:rPr>
      <w:i w:val="0"/>
      <w:color w:val="000000"/>
      <w:sz w:val="28"/>
      <w:szCs w:val="21"/>
    </w:rPr>
  </w:style>
  <w:style w:type="character" w:styleId="1048">
    <w:name w:val="正文大标题 Char"/>
    <w:next w:val="1048"/>
    <w:link w:val="1047"/>
    <w:qFormat/>
    <w:rPr>
      <w:rFonts w:ascii="宋体" w:hAnsi="宋体"/>
      <w:b/>
      <w:color w:val="000000"/>
      <w:sz w:val="28"/>
      <w:szCs w:val="21"/>
    </w:rPr>
  </w:style>
  <w:style w:type="paragraph" w:styleId="1049">
    <w:name w:val="注释"/>
    <w:basedOn w:val="840"/>
    <w:next w:val="1049"/>
    <w:link w:val="1050"/>
    <w:qFormat/>
    <w:pPr>
      <w:ind w:left="420" w:hanging="420"/>
      <w:jc w:val="left"/>
    </w:pPr>
    <w:rPr>
      <w:rFonts w:ascii="宋体" w:hAnsi="宋体"/>
      <w:szCs w:val="21"/>
    </w:rPr>
  </w:style>
  <w:style w:type="character" w:styleId="1050">
    <w:name w:val="注释 Char"/>
    <w:next w:val="1050"/>
    <w:link w:val="1049"/>
    <w:qFormat/>
    <w:rPr>
      <w:rFonts w:ascii="宋体" w:hAnsi="宋体"/>
      <w:sz w:val="21"/>
      <w:szCs w:val="21"/>
    </w:rPr>
  </w:style>
  <w:style w:type="paragraph" w:styleId="1051">
    <w:name w:val="正文须知-1级"/>
    <w:basedOn w:val="840"/>
    <w:next w:val="840"/>
    <w:link w:val="840"/>
    <w:qFormat/>
    <w:pPr>
      <w:numPr>
        <w:ilvl w:val="0"/>
        <w:numId w:val="7"/>
      </w:numPr>
      <w:spacing w:line="300" w:lineRule="auto"/>
    </w:pPr>
    <w:rPr>
      <w:rFonts w:ascii="宋体" w:hAnsi="Calibri"/>
      <w:sz w:val="24"/>
      <w:szCs w:val="21"/>
    </w:rPr>
  </w:style>
  <w:style w:type="paragraph" w:styleId="1052">
    <w:name w:val="正文须知-2级"/>
    <w:basedOn w:val="840"/>
    <w:next w:val="1052"/>
    <w:link w:val="840"/>
    <w:qFormat/>
    <w:pPr>
      <w:numPr>
        <w:ilvl w:val="1"/>
        <w:numId w:val="7"/>
      </w:numPr>
      <w:spacing w:line="300" w:lineRule="auto"/>
    </w:pPr>
    <w:rPr>
      <w:rFonts w:ascii="宋体" w:hAnsi="Calibri"/>
      <w:sz w:val="24"/>
      <w:szCs w:val="21"/>
    </w:rPr>
  </w:style>
  <w:style w:type="paragraph" w:styleId="1053">
    <w:name w:val="正文须知-3级"/>
    <w:basedOn w:val="840"/>
    <w:next w:val="1053"/>
    <w:link w:val="840"/>
    <w:qFormat/>
    <w:pPr>
      <w:numPr>
        <w:ilvl w:val="2"/>
        <w:numId w:val="7"/>
      </w:numPr>
      <w:ind w:hanging="355"/>
      <w:spacing w:line="300" w:lineRule="auto"/>
    </w:pPr>
    <w:rPr>
      <w:rFonts w:ascii="宋体" w:hAnsi="Calibri"/>
      <w:sz w:val="24"/>
      <w:szCs w:val="21"/>
    </w:rPr>
  </w:style>
  <w:style w:type="character" w:styleId="1054">
    <w:name w:val="纯文本 字符"/>
    <w:next w:val="1054"/>
    <w:link w:val="840"/>
    <w:uiPriority w:val="99"/>
    <w:qFormat/>
    <w:rPr>
      <w:rFonts w:ascii="宋体" w:hAnsi="Courier New" w:eastAsia="宋体" w:cs="Times New Roman"/>
      <w:sz w:val="21"/>
      <w:szCs w:val="21"/>
      <w:lang w:val="en-US" w:eastAsia="zh-CN" w:bidi="ar-SA"/>
    </w:rPr>
  </w:style>
  <w:style w:type="paragraph" w:styleId="1055">
    <w:name w:val="表格1"/>
    <w:basedOn w:val="840"/>
    <w:next w:val="1055"/>
    <w:link w:val="840"/>
    <w:qFormat/>
    <w:pPr>
      <w:ind w:firstLine="480"/>
      <w:jc w:val="center"/>
    </w:pPr>
    <w:rPr>
      <w:sz w:val="24"/>
      <w:szCs w:val="20"/>
    </w:rPr>
  </w:style>
  <w:style w:type="character" w:styleId="1056">
    <w:name w:val="纯文本 字符1"/>
    <w:next w:val="1056"/>
    <w:link w:val="840"/>
    <w:qFormat/>
    <w:rPr>
      <w:rFonts w:ascii="宋体" w:hAnsi="Courier New"/>
    </w:rPr>
  </w:style>
  <w:style w:type="character" w:styleId="1057">
    <w:name w:val="bjh-p"/>
    <w:next w:val="1057"/>
    <w:link w:val="840"/>
    <w:qFormat/>
  </w:style>
  <w:style w:type="paragraph" w:styleId="1058">
    <w:name w:val="无标题条"/>
    <w:next w:val="840"/>
    <w:link w:val="840"/>
    <w:qFormat/>
    <w:pPr>
      <w:jc w:val="both"/>
    </w:pPr>
    <w:rPr>
      <w:sz w:val="21"/>
      <w:lang w:val="en-US" w:eastAsia="zh-CN" w:bidi="ar-SA"/>
    </w:rPr>
  </w:style>
  <w:style w:type="character" w:styleId="1059">
    <w:name w:val="正文格式 Char"/>
    <w:next w:val="1059"/>
    <w:link w:val="1060"/>
    <w:qFormat/>
    <w:rPr>
      <w:rFonts w:ascii="宋体" w:hAnsi="宋体"/>
      <w:sz w:val="24"/>
      <w:szCs w:val="24"/>
      <w:lang w:val="en-GB"/>
    </w:rPr>
  </w:style>
  <w:style w:type="paragraph" w:styleId="1060">
    <w:name w:val="正文格式"/>
    <w:basedOn w:val="840"/>
    <w:next w:val="1060"/>
    <w:link w:val="1059"/>
    <w:qFormat/>
    <w:pPr>
      <w:ind w:firstLine="480"/>
      <w:spacing w:line="360" w:lineRule="auto"/>
    </w:pPr>
    <w:rPr>
      <w:rFonts w:ascii="宋体" w:hAnsi="宋体"/>
      <w:sz w:val="24"/>
      <w:lang w:val="en-GB"/>
    </w:rPr>
  </w:style>
  <w:style w:type="character" w:styleId="1061">
    <w:name w:val="标题 3 Char"/>
    <w:next w:val="1061"/>
    <w:link w:val="840"/>
    <w:qFormat/>
    <w:rPr>
      <w:rFonts w:ascii="宋体" w:eastAsia="宋体"/>
      <w:b/>
      <w:sz w:val="24"/>
      <w:u w:val="single"/>
      <w:lang w:val="en-US" w:eastAsia="zh-CN" w:bidi="ar-SA"/>
    </w:rPr>
  </w:style>
  <w:style w:type="character" w:styleId="1062">
    <w:name w:val="正文缩进 Char"/>
    <w:next w:val="1062"/>
    <w:link w:val="840"/>
    <w:qFormat/>
    <w:rPr>
      <w:rFonts w:ascii="宋体" w:eastAsia="宋体"/>
      <w:sz w:val="24"/>
      <w:szCs w:val="24"/>
      <w:lang w:val="en-US" w:eastAsia="zh-CN" w:bidi="ar-SA"/>
    </w:rPr>
  </w:style>
  <w:style w:type="character" w:styleId="1063">
    <w:name w:val="Char Char111"/>
    <w:next w:val="1063"/>
    <w:link w:val="840"/>
    <w:qFormat/>
    <w:rPr>
      <w:rFonts w:ascii="宋体" w:eastAsia="宋体"/>
      <w:b/>
      <w:sz w:val="24"/>
      <w:u w:val="single"/>
      <w:lang w:val="en-US" w:eastAsia="zh-CN" w:bidi="ar-SA"/>
    </w:rPr>
  </w:style>
  <w:style w:type="character" w:styleId="1064">
    <w:name w:val="正文文本缩进 Char"/>
    <w:next w:val="1064"/>
    <w:link w:val="840"/>
    <w:qFormat/>
    <w:rPr>
      <w:rFonts w:eastAsia="宋体"/>
      <w:sz w:val="24"/>
      <w:szCs w:val="24"/>
      <w:lang w:val="en-US" w:eastAsia="zh-CN" w:bidi="ar-SA"/>
    </w:rPr>
  </w:style>
  <w:style w:type="character" w:styleId="1065">
    <w:name w:val="列出段落 Char"/>
    <w:next w:val="1065"/>
    <w:link w:val="840"/>
    <w:qFormat/>
    <w:rPr>
      <w:rFonts w:ascii="Calibri" w:hAnsi="Calibri" w:eastAsia="宋体"/>
      <w:sz w:val="21"/>
      <w:szCs w:val="22"/>
      <w:lang w:val="en-US" w:eastAsia="zh-CN" w:bidi="ar-SA"/>
    </w:rPr>
  </w:style>
  <w:style w:type="character" w:styleId="1066">
    <w:name w:val="页眉 Char"/>
    <w:next w:val="1066"/>
    <w:link w:val="840"/>
    <w:qFormat/>
    <w:rPr>
      <w:rFonts w:eastAsia="宋体"/>
      <w:sz w:val="18"/>
      <w:szCs w:val="18"/>
      <w:lang w:val="en-US" w:eastAsia="zh-CN" w:bidi="ar-SA"/>
    </w:rPr>
  </w:style>
  <w:style w:type="character" w:styleId="1067">
    <w:name w:val="标题 2 Char"/>
    <w:next w:val="1067"/>
    <w:link w:val="840"/>
    <w:qFormat/>
    <w:rPr>
      <w:rFonts w:ascii="Arial" w:hAnsi="Arial" w:eastAsia="黑体"/>
      <w:b/>
      <w:sz w:val="30"/>
      <w:lang w:val="en-US" w:eastAsia="zh-CN" w:bidi="ar-SA"/>
    </w:rPr>
  </w:style>
  <w:style w:type="paragraph" w:styleId="1068">
    <w:name w:val="字元 字元2"/>
    <w:basedOn w:val="840"/>
    <w:next w:val="1068"/>
    <w:link w:val="840"/>
    <w:qFormat/>
    <w:rPr>
      <w:rFonts w:ascii="Tahoma" w:hAnsi="Tahoma"/>
      <w:sz w:val="24"/>
      <w:szCs w:val="20"/>
    </w:rPr>
  </w:style>
  <w:style w:type="paragraph" w:styleId="1069">
    <w:name w:val="Char3 Char Char Char2"/>
    <w:basedOn w:val="840"/>
    <w:next w:val="1069"/>
    <w:link w:val="840"/>
    <w:qFormat/>
    <w:rPr>
      <w:rFonts w:ascii="Tahoma" w:hAnsi="Tahoma"/>
      <w:sz w:val="24"/>
      <w:szCs w:val="20"/>
    </w:rPr>
  </w:style>
  <w:style w:type="paragraph" w:styleId="1070">
    <w:name w:val="正文文本缩进2"/>
    <w:basedOn w:val="840"/>
    <w:next w:val="1070"/>
    <w:link w:val="840"/>
    <w:qFormat/>
    <w:pPr>
      <w:ind w:firstLine="480"/>
      <w:spacing w:line="480" w:lineRule="exact"/>
    </w:pPr>
    <w:rPr>
      <w:rFonts w:ascii="宋体" w:hAnsi="宋体"/>
      <w:sz w:val="24"/>
      <w:lang w:val="zh-CN" w:eastAsia="zh-CN"/>
    </w:rPr>
  </w:style>
  <w:style w:type="paragraph" w:styleId="1071">
    <w:name w:val="Char3"/>
    <w:basedOn w:val="840"/>
    <w:next w:val="1071"/>
    <w:link w:val="840"/>
    <w:qFormat/>
    <w:pPr>
      <w:tabs>
        <w:tab w:val="left" w:pos="360" w:leader="none"/>
      </w:tabs>
    </w:pPr>
    <w:rPr>
      <w:sz w:val="24"/>
    </w:rPr>
  </w:style>
  <w:style w:type="paragraph" w:styleId="1072">
    <w:name w:val="Char Char Char Char Char Char Char Char Char Char Char Char Char Char Char Char1"/>
    <w:basedOn w:val="840"/>
    <w:next w:val="1072"/>
    <w:link w:val="840"/>
    <w:qFormat/>
    <w:pPr>
      <w:jc w:val="center"/>
      <w:spacing w:after="160" w:line="240" w:lineRule="exact"/>
      <w:widowControl/>
    </w:pPr>
    <w:rPr>
      <w:rFonts w:ascii="宋体" w:hAnsi="宋体"/>
      <w:b/>
      <w:sz w:val="30"/>
      <w:szCs w:val="30"/>
      <w:lang w:eastAsia="en-US"/>
    </w:rPr>
  </w:style>
  <w:style w:type="paragraph" w:styleId="1073">
    <w:name w:val="Char Char1 Char Char Char Char Char Char1"/>
    <w:basedOn w:val="840"/>
    <w:next w:val="1073"/>
    <w:link w:val="840"/>
    <w:qFormat/>
    <w:pPr>
      <w:jc w:val="left"/>
      <w:spacing w:after="160" w:line="240" w:lineRule="exact"/>
      <w:widowControl/>
    </w:pPr>
    <w:rPr>
      <w:rFonts w:ascii="Verdana" w:hAnsi="Verdana" w:eastAsia="仿宋_GB2312"/>
      <w:sz w:val="24"/>
      <w:szCs w:val="20"/>
      <w:lang w:eastAsia="en-US"/>
    </w:rPr>
  </w:style>
  <w:style w:type="paragraph" w:styleId="1074">
    <w:name w:val="列出段落2"/>
    <w:basedOn w:val="840"/>
    <w:next w:val="1074"/>
    <w:link w:val="840"/>
    <w:qFormat/>
    <w:pPr>
      <w:ind w:firstLine="420"/>
    </w:pPr>
    <w:rPr>
      <w:rFonts w:ascii="Calibri" w:hAnsi="Calibri"/>
      <w:szCs w:val="22"/>
    </w:rPr>
  </w:style>
  <w:style w:type="paragraph" w:styleId="1075">
    <w:name w:val="Char Char Char1 Char2"/>
    <w:basedOn w:val="840"/>
    <w:next w:val="1075"/>
    <w:link w:val="840"/>
    <w:qFormat/>
    <w:rPr>
      <w:rFonts w:ascii="Tahoma" w:hAnsi="Tahoma"/>
      <w:sz w:val="24"/>
      <w:szCs w:val="20"/>
    </w:rPr>
  </w:style>
  <w:style w:type="paragraph" w:styleId="1076">
    <w:name w:val="Char Char Char2"/>
    <w:basedOn w:val="840"/>
    <w:next w:val="1076"/>
    <w:link w:val="840"/>
    <w:qFormat/>
    <w:rPr>
      <w:rFonts w:ascii="Tahoma" w:hAnsi="Tahoma"/>
      <w:sz w:val="24"/>
      <w:szCs w:val="20"/>
    </w:rPr>
  </w:style>
  <w:style w:type="paragraph" w:styleId="1077">
    <w:name w:val="Char Char Char Char Char Char Char2"/>
    <w:basedOn w:val="840"/>
    <w:next w:val="1077"/>
    <w:link w:val="840"/>
    <w:qFormat/>
    <w:pPr>
      <w:ind w:firstLine="200"/>
      <w:spacing w:line="360" w:lineRule="auto"/>
    </w:pPr>
    <w:rPr>
      <w:rFonts w:eastAsia="仿宋_GB2312"/>
      <w:sz w:val="24"/>
    </w:rPr>
  </w:style>
  <w:style w:type="paragraph" w:styleId="1078">
    <w:name w:val="正文缩进2"/>
    <w:basedOn w:val="840"/>
    <w:next w:val="1078"/>
    <w:link w:val="840"/>
    <w:qFormat/>
    <w:pPr>
      <w:ind w:firstLine="567"/>
      <w:spacing w:line="480" w:lineRule="exact"/>
      <w:widowControl/>
    </w:pPr>
    <w:rPr>
      <w:rFonts w:ascii="宋体"/>
      <w:color w:val="000000"/>
      <w:sz w:val="28"/>
      <w:szCs w:val="20"/>
      <w:lang w:val="zh-CN" w:eastAsia="zh-CN"/>
    </w:rPr>
  </w:style>
  <w:style w:type="paragraph" w:styleId="1079">
    <w:name w:val="Revision"/>
    <w:next w:val="1079"/>
    <w:link w:val="840"/>
    <w:qFormat/>
    <w:rPr>
      <w:sz w:val="21"/>
      <w:szCs w:val="24"/>
      <w:lang w:val="en-US" w:eastAsia="zh-CN" w:bidi="ar-SA"/>
    </w:rPr>
  </w:style>
  <w:style w:type="paragraph" w:styleId="1080">
    <w:name w:val="Char22"/>
    <w:basedOn w:val="840"/>
    <w:next w:val="1080"/>
    <w:link w:val="840"/>
    <w:qFormat/>
    <w:rPr>
      <w:rFonts w:ascii="Tahoma" w:hAnsi="Tahoma"/>
      <w:sz w:val="24"/>
      <w:szCs w:val="20"/>
    </w:rPr>
  </w:style>
  <w:style w:type="paragraph" w:styleId="1081">
    <w:name w:val="Char Char Char Char Char Char Char Char Char Char2"/>
    <w:basedOn w:val="840"/>
    <w:next w:val="1081"/>
    <w:link w:val="840"/>
    <w:qFormat/>
    <w:rPr>
      <w:rFonts w:ascii="宋体" w:hAnsi="宋体" w:cs="Courier New"/>
      <w:sz w:val="32"/>
      <w:szCs w:val="32"/>
    </w:rPr>
  </w:style>
  <w:style w:type="paragraph" w:styleId="1082">
    <w:name w:val="Char2 Char Char Char Char Char Char1"/>
    <w:basedOn w:val="840"/>
    <w:next w:val="1082"/>
    <w:link w:val="840"/>
    <w:qFormat/>
    <w:pPr>
      <w:jc w:val="center"/>
      <w:spacing w:line="400" w:lineRule="exact"/>
      <w:widowControl/>
    </w:pPr>
  </w:style>
  <w:style w:type="character" w:styleId="1083">
    <w:name w:val="页脚 Char"/>
    <w:next w:val="1083"/>
    <w:link w:val="840"/>
    <w:qFormat/>
    <w:rPr>
      <w:rFonts w:ascii="宋体" w:eastAsia="宋体"/>
      <w:sz w:val="18"/>
      <w:lang w:val="en-US" w:eastAsia="zh-CN" w:bidi="ar-SA"/>
    </w:rPr>
  </w:style>
  <w:style w:type="paragraph" w:styleId="1084">
    <w:name w:val="Char Char41"/>
    <w:basedOn w:val="840"/>
    <w:next w:val="1084"/>
    <w:link w:val="840"/>
    <w:qFormat/>
    <w:pPr>
      <w:jc w:val="center"/>
      <w:spacing w:line="400" w:lineRule="exact"/>
      <w:widowControl/>
    </w:pPr>
  </w:style>
  <w:style w:type="character" w:styleId="1085">
    <w:name w:val="批注文字 Char"/>
    <w:next w:val="1085"/>
    <w:link w:val="840"/>
    <w:uiPriority w:val="99"/>
    <w:qFormat/>
    <w:rPr>
      <w:sz w:val="21"/>
      <w:szCs w:val="24"/>
    </w:rPr>
  </w:style>
  <w:style w:type="character" w:styleId="1086">
    <w:name w:val="标题 Char"/>
    <w:next w:val="1086"/>
    <w:link w:val="840"/>
    <w:qFormat/>
    <w:rPr>
      <w:b/>
      <w:sz w:val="32"/>
    </w:rPr>
  </w:style>
  <w:style w:type="paragraph" w:styleId="1087">
    <w:name w:val="图例"/>
    <w:basedOn w:val="840"/>
    <w:next w:val="1087"/>
    <w:link w:val="840"/>
    <w:qFormat/>
    <w:pPr>
      <w:jc w:val="center"/>
      <w:spacing w:before="120" w:after="120" w:line="360" w:lineRule="auto"/>
    </w:pPr>
    <w:rPr>
      <w:rFonts w:eastAsia="仿宋_GB2312"/>
      <w:b/>
      <w:sz w:val="24"/>
      <w:szCs w:val="20"/>
    </w:rPr>
  </w:style>
  <w:style w:type="table" w:styleId="1088">
    <w:name w:val="Table Normal"/>
    <w:next w:val="1088"/>
    <w:link w:val="840"/>
    <w:uiPriority w:val="2"/>
    <w:unhideWhenUsed/>
    <w:qFormat/>
    <w:pPr>
      <w:widowControl w:val="off"/>
    </w:pPr>
    <w:rPr>
      <w:rFonts w:ascii="Calibri" w:hAnsi="Calibri"/>
      <w:sz w:val="22"/>
      <w:szCs w:val="22"/>
      <w:lang w:val="en-US" w:eastAsia="en-US" w:bidi="ar-SA"/>
    </w:rPr>
    <w:tblPr/>
  </w:style>
  <w:style w:type="paragraph" w:styleId="1089">
    <w:name w:val="Table Paragraph"/>
    <w:basedOn w:val="840"/>
    <w:next w:val="1089"/>
    <w:link w:val="840"/>
    <w:uiPriority w:val="1"/>
    <w:qFormat/>
    <w:pPr>
      <w:jc w:val="left"/>
    </w:pPr>
    <w:rPr>
      <w:rFonts w:ascii="宋体" w:hAnsi="宋体" w:cs="宋体"/>
      <w:sz w:val="22"/>
      <w:szCs w:val="22"/>
      <w:lang w:eastAsia="en-US"/>
    </w:rPr>
  </w:style>
  <w:style w:type="paragraph" w:styleId="1090">
    <w:name w:val="成文日期"/>
    <w:basedOn w:val="840"/>
    <w:next w:val="1090"/>
    <w:link w:val="1091"/>
    <w:qFormat/>
    <w:pPr>
      <w:ind w:right="400" w:firstLine="200"/>
      <w:jc w:val="right"/>
      <w:spacing w:line="570" w:lineRule="exact"/>
    </w:pPr>
    <w:rPr>
      <w:rFonts w:ascii="仿宋_GB2312" w:eastAsia="仿宋_GB2312"/>
      <w:sz w:val="32"/>
      <w:szCs w:val="20"/>
    </w:rPr>
  </w:style>
  <w:style w:type="character" w:styleId="1091">
    <w:name w:val="成文日期 Char"/>
    <w:next w:val="1091"/>
    <w:link w:val="1090"/>
    <w:rPr>
      <w:rFonts w:ascii="仿宋_GB2312" w:eastAsia="仿宋_GB2312"/>
      <w:sz w:val="32"/>
    </w:rPr>
  </w:style>
  <w:style w:type="paragraph" w:styleId="1092">
    <w:name w:val="修订"/>
    <w:next w:val="1092"/>
    <w:link w:val="840"/>
    <w:uiPriority w:val="99"/>
    <w:unhideWhenUsed/>
    <w:rPr>
      <w:sz w:val="21"/>
      <w:szCs w:val="24"/>
      <w:lang w:val="en-US" w:eastAsia="zh-CN" w:bidi="ar-SA"/>
    </w:rPr>
  </w:style>
  <w:style w:type="character" w:styleId="1093">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093"/>
    <w:link w:val="840"/>
    <w:qFormat/>
    <w:rPr>
      <w:rFonts w:ascii="宋体" w:hAnsi="宋体" w:eastAsia="宋体"/>
      <w:sz w:val="24"/>
      <w:szCs w:val="24"/>
    </w:rPr>
  </w:style>
  <w:style w:type="character" w:styleId="1094">
    <w:name w:val="NormalCharacter1"/>
    <w:next w:val="1094"/>
    <w:link w:val="840"/>
    <w:qFormat/>
  </w:style>
  <w:style w:type="character" w:styleId="1095">
    <w:name w:val="正文缩进 Char1"/>
    <w:next w:val="1095"/>
    <w:link w:val="840"/>
    <w:qFormat/>
    <w:rPr>
      <w:rFonts w:ascii="宋体" w:hAnsi="宋体" w:eastAsia="宋体"/>
      <w:sz w:val="24"/>
    </w:rPr>
  </w:style>
  <w:style w:type="paragraph" w:styleId="1096">
    <w:name w:val="索引 11"/>
    <w:basedOn w:val="840"/>
    <w:next w:val="840"/>
    <w:link w:val="840"/>
    <w:pPr>
      <w:spacing w:line="360" w:lineRule="auto"/>
    </w:pPr>
    <w:rPr>
      <w:rFonts w:ascii="仿宋_GB2312" w:eastAsia="仿宋_GB2312"/>
      <w:sz w:val="24"/>
      <w:szCs w:val="20"/>
    </w:rPr>
  </w:style>
  <w:style w:type="paragraph" w:styleId="1097">
    <w:name w:val="Table Text"/>
    <w:basedOn w:val="840"/>
    <w:next w:val="1097"/>
    <w:link w:val="840"/>
    <w:semiHidden/>
    <w:qFormat/>
    <w:rPr>
      <w:rFonts w:ascii="Arial" w:hAnsi="Arial" w:eastAsia="Arial" w:cs="Arial"/>
      <w:sz w:val="21"/>
      <w:szCs w:val="21"/>
      <w:lang w:val="en-US" w:eastAsia="en-US" w:bidi="ar-SA"/>
    </w:rPr>
  </w:style>
  <w:style w:type="paragraph" w:styleId="1098">
    <w:name w:val="纯文本1"/>
    <w:next w:val="1099"/>
    <w:link w:val="840"/>
    <w:qFormat/>
    <w:pPr>
      <w:jc w:val="both"/>
      <w:widowControl w:val="off"/>
    </w:pPr>
    <w:rPr>
      <w:rFonts w:ascii="宋体" w:hAnsi="宋体" w:eastAsia="宋体" w:cs="Times New Roman"/>
      <w:sz w:val="26"/>
      <w:szCs w:val="24"/>
      <w:lang w:val="en-US" w:eastAsia="zh-CN" w:bidi="ar-SA"/>
    </w:rPr>
  </w:style>
  <w:style w:type="paragraph" w:styleId="1099">
    <w:name w:val="目录 41"/>
    <w:basedOn w:val="840"/>
    <w:next w:val="840"/>
    <w:link w:val="840"/>
    <w:qFormat/>
    <w:pPr>
      <w:ind w:left="1260"/>
    </w:pPr>
  </w:style>
  <w:style w:type="paragraph" w:styleId="1100">
    <w:name w:val="正文文本1"/>
    <w:basedOn w:val="840"/>
    <w:next w:val="840"/>
    <w:link w:val="840"/>
    <w:qFormat/>
    <w:pPr>
      <w:spacing w:before="120" w:line="22" w:lineRule="atLeast"/>
      <w:tabs>
        <w:tab w:val="left" w:pos="567" w:leader="none"/>
      </w:tabs>
    </w:pPr>
    <w:rPr>
      <w:rFonts w:ascii="宋体" w:hAnsi="宋体"/>
      <w:sz w:val="24"/>
    </w:rPr>
  </w:style>
  <w:style w:type="character" w:styleId="19818" w:default="1">
    <w:name w:val="Default Paragraph Font"/>
    <w:uiPriority w:val="1"/>
    <w:semiHidden/>
    <w:unhideWhenUsed/>
  </w:style>
  <w:style w:type="numbering" w:styleId="19819" w:default="1">
    <w:name w:val="No List"/>
    <w:uiPriority w:val="99"/>
    <w:semiHidden/>
    <w:unhideWhenUsed/>
  </w:style>
  <w:style w:type="table" w:styleId="198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周洁</cp:lastModifiedBy>
  <cp:revision>4</cp:revision>
  <dcterms:created xsi:type="dcterms:W3CDTF">2022-05-30T16:08:00Z</dcterms:created>
  <dcterms:modified xsi:type="dcterms:W3CDTF">2026-06-02T02:22:57Z</dcterms:modified>
</cp:coreProperties>
</file>